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8C22" w14:textId="77777777" w:rsidR="00405E06" w:rsidRPr="00D102CA" w:rsidRDefault="008B3982" w:rsidP="00EA34B1">
      <w:pPr>
        <w:ind w:left="-851"/>
        <w:rPr>
          <w:b/>
          <w:bCs/>
          <w:sz w:val="20"/>
          <w:szCs w:val="20"/>
        </w:rPr>
      </w:pPr>
      <w:r w:rsidRPr="00D102CA">
        <w:rPr>
          <w:b/>
          <w:bCs/>
          <w:sz w:val="20"/>
          <w:szCs w:val="20"/>
        </w:rPr>
        <w:t xml:space="preserve">POSLOVNIK KAKOVOSTI NOVE UNIVERZE, </w:t>
      </w:r>
      <w:r w:rsidR="003715CB" w:rsidRPr="00D102CA">
        <w:rPr>
          <w:b/>
          <w:bCs/>
          <w:sz w:val="20"/>
          <w:szCs w:val="20"/>
        </w:rPr>
        <w:t xml:space="preserve">PRILOGA </w:t>
      </w:r>
      <w:r w:rsidR="009E2261" w:rsidRPr="00D102CA">
        <w:rPr>
          <w:b/>
          <w:bCs/>
          <w:sz w:val="20"/>
          <w:szCs w:val="20"/>
        </w:rPr>
        <w:t>1</w:t>
      </w:r>
      <w:r w:rsidR="003715CB" w:rsidRPr="00D102CA">
        <w:rPr>
          <w:b/>
          <w:bCs/>
          <w:sz w:val="20"/>
          <w:szCs w:val="20"/>
        </w:rPr>
        <w:t xml:space="preserve">: </w:t>
      </w:r>
    </w:p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765879" w:rsidRPr="00765879" w14:paraId="3CEEAC7B" w14:textId="77777777" w:rsidTr="00BC1EB3">
        <w:trPr>
          <w:trHeight w:val="417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6C34B41D" w14:textId="77777777" w:rsidR="00765879" w:rsidRPr="00765879" w:rsidRDefault="00765879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color w:val="FFFFFF" w:themeColor="background1"/>
                <w:sz w:val="20"/>
                <w:szCs w:val="20"/>
              </w:rPr>
            </w:pPr>
            <w:r w:rsidRPr="00765879">
              <w:rPr>
                <w:rFonts w:cstheme="minorHAnsi"/>
                <w:color w:val="FFFFFF" w:themeColor="background1"/>
                <w:sz w:val="22"/>
                <w:szCs w:val="22"/>
                <w:lang w:eastAsia="sl-SI"/>
              </w:rPr>
              <w:t xml:space="preserve">Strateško področje 1: </w:t>
            </w:r>
            <w:r w:rsidR="0055083A" w:rsidRPr="00765879">
              <w:rPr>
                <w:rFonts w:cstheme="minorHAnsi"/>
                <w:color w:val="FFFFFF" w:themeColor="background1"/>
                <w:sz w:val="22"/>
                <w:szCs w:val="22"/>
                <w:lang w:eastAsia="sl-SI"/>
              </w:rPr>
              <w:t>ORGANIZIRANOST IN RAZVOJ</w:t>
            </w:r>
          </w:p>
        </w:tc>
      </w:tr>
      <w:tr w:rsidR="003715CB" w:rsidRPr="00A82D19" w14:paraId="06EE6B14" w14:textId="77777777" w:rsidTr="00BC1EB3">
        <w:trPr>
          <w:trHeight w:val="139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2B5BAC8C" w14:textId="77777777" w:rsidR="003715CB" w:rsidRPr="00A82D19" w:rsidRDefault="003715CB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76F743BC" w14:textId="77777777" w:rsidR="003715CB" w:rsidRPr="00A82D19" w:rsidRDefault="003715CB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E70B2A" w:rsidRPr="003715CB" w14:paraId="0D0753E4" w14:textId="77777777" w:rsidTr="00683167">
        <w:trPr>
          <w:trHeight w:val="441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038E8169" w14:textId="77777777" w:rsidR="00E70B2A" w:rsidRPr="003715CB" w:rsidRDefault="00E70B2A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Strateški cilj 1</w:t>
            </w:r>
            <w:r w:rsidRPr="003715CB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RAZVOJ NOVE UNIVERZE</w:t>
            </w:r>
          </w:p>
        </w:tc>
      </w:tr>
      <w:tr w:rsidR="00B24D01" w:rsidRPr="003715CB" w14:paraId="26255687" w14:textId="77777777" w:rsidTr="00BC1EB3">
        <w:trPr>
          <w:trHeight w:val="303"/>
        </w:trPr>
        <w:tc>
          <w:tcPr>
            <w:tcW w:w="5671" w:type="dxa"/>
            <w:vAlign w:val="center"/>
          </w:tcPr>
          <w:p w14:paraId="6D2A14E3" w14:textId="5DD389ED" w:rsidR="00B24D01" w:rsidRPr="00D102CA" w:rsidRDefault="00B24D0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Izvajanje strategije razvoja Nove univerze </w:t>
            </w:r>
            <w:r w:rsidR="00A753D1" w:rsidRPr="00714243">
              <w:rPr>
                <w:rFonts w:eastAsia="Calibri" w:cstheme="minorHAnsi"/>
                <w:sz w:val="20"/>
                <w:szCs w:val="20"/>
                <w:lang w:eastAsia="sl-SI"/>
              </w:rPr>
              <w:t>20</w:t>
            </w:r>
            <w:r w:rsidR="00A753D1">
              <w:rPr>
                <w:rFonts w:eastAsia="Calibri" w:cstheme="minorHAnsi"/>
                <w:sz w:val="20"/>
                <w:szCs w:val="20"/>
                <w:lang w:eastAsia="sl-SI"/>
              </w:rPr>
              <w:t>21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-</w:t>
            </w:r>
            <w:r w:rsidR="00A753D1" w:rsidRPr="00714243">
              <w:rPr>
                <w:rFonts w:eastAsia="Calibri" w:cstheme="minorHAnsi"/>
                <w:sz w:val="20"/>
                <w:szCs w:val="20"/>
                <w:lang w:eastAsia="sl-SI"/>
              </w:rPr>
              <w:t>20</w:t>
            </w:r>
            <w:r w:rsidR="00A753D1">
              <w:rPr>
                <w:rFonts w:eastAsia="Calibri" w:cstheme="minorHAnsi"/>
                <w:sz w:val="20"/>
                <w:szCs w:val="20"/>
                <w:lang w:eastAsia="sl-SI"/>
              </w:rPr>
              <w:t>24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0270381D" w14:textId="086781CC" w:rsidR="00B24D01" w:rsidRPr="00D102CA" w:rsidRDefault="000B21C9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Realizacija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 w:rsidR="00A753D1">
              <w:rPr>
                <w:rFonts w:eastAsia="Calibri" w:cstheme="minorHAnsi"/>
                <w:sz w:val="20"/>
                <w:szCs w:val="20"/>
                <w:lang w:eastAsia="sl-SI"/>
              </w:rPr>
              <w:t>strategije.</w:t>
            </w:r>
          </w:p>
        </w:tc>
      </w:tr>
      <w:tr w:rsidR="003715CB" w:rsidRPr="003715CB" w14:paraId="0F4D9B76" w14:textId="77777777" w:rsidTr="000B04ED">
        <w:trPr>
          <w:trHeight w:val="624"/>
        </w:trPr>
        <w:tc>
          <w:tcPr>
            <w:tcW w:w="5671" w:type="dxa"/>
            <w:vAlign w:val="center"/>
          </w:tcPr>
          <w:p w14:paraId="0175300C" w14:textId="77777777" w:rsidR="003715CB" w:rsidRPr="003715CB" w:rsidRDefault="00B24D01" w:rsidP="00D102CA">
            <w:pPr>
              <w:jc w:val="both"/>
              <w:rPr>
                <w:sz w:val="20"/>
                <w:szCs w:val="20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Vključitev novih čl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anic oz. pridruženih članic v Novo univerzo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07C0ECEB" w14:textId="77777777" w:rsidR="003715CB" w:rsidRPr="003715CB" w:rsidRDefault="000B21C9" w:rsidP="00D102C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</w:t>
            </w:r>
            <w:r w:rsidR="00BC1EB3">
              <w:rPr>
                <w:rFonts w:eastAsia="Calibri" w:cstheme="minorHAnsi"/>
                <w:sz w:val="20"/>
                <w:szCs w:val="20"/>
                <w:lang w:eastAsia="sl-SI"/>
              </w:rPr>
              <w:t>nov</w:t>
            </w:r>
            <w:r w:rsidR="002F128B">
              <w:rPr>
                <w:rFonts w:eastAsia="Calibri" w:cstheme="minorHAnsi"/>
                <w:sz w:val="20"/>
                <w:szCs w:val="20"/>
                <w:lang w:eastAsia="sl-SI"/>
              </w:rPr>
              <w:t>ih članic oziroma pridruženih članic</w:t>
            </w:r>
            <w:r w:rsidR="00BC1EB3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765879" w:rsidRPr="003715CB" w14:paraId="6679DAF6" w14:textId="77777777" w:rsidTr="00683167">
        <w:trPr>
          <w:trHeight w:val="284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02147930" w14:textId="77777777" w:rsidR="00765879" w:rsidRDefault="00765879" w:rsidP="00BC1EB3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65879">
              <w:rPr>
                <w:sz w:val="20"/>
                <w:szCs w:val="20"/>
              </w:rPr>
              <w:t>Strateški cilj 2: JASNA IN UČINKOVITA ORGANIZACIJSKA SHEMA</w:t>
            </w:r>
          </w:p>
        </w:tc>
      </w:tr>
      <w:tr w:rsidR="00A753D1" w:rsidRPr="003715CB" w14:paraId="0AC83616" w14:textId="77777777" w:rsidTr="00BC1EB3">
        <w:trPr>
          <w:trHeight w:val="181"/>
        </w:trPr>
        <w:tc>
          <w:tcPr>
            <w:tcW w:w="5671" w:type="dxa"/>
            <w:vAlign w:val="center"/>
          </w:tcPr>
          <w:p w14:paraId="3BFAFBF7" w14:textId="0FD563C8" w:rsidR="00A753D1" w:rsidRPr="00765879" w:rsidRDefault="00A753D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Vzpostavit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ev in delovanje skupnih služb Nove univerze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26A1084D" w14:textId="7AD19E46" w:rsidR="00A753D1" w:rsidRDefault="00A753D1" w:rsidP="00D1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vzpostavljenih in delujočih skupnih služb na NU.</w:t>
            </w:r>
          </w:p>
        </w:tc>
      </w:tr>
      <w:tr w:rsidR="00A753D1" w:rsidRPr="003715CB" w14:paraId="4E4A2875" w14:textId="77777777" w:rsidTr="00A753D1">
        <w:trPr>
          <w:trHeight w:val="810"/>
        </w:trPr>
        <w:tc>
          <w:tcPr>
            <w:tcW w:w="5671" w:type="dxa"/>
            <w:vMerge w:val="restart"/>
            <w:vAlign w:val="center"/>
          </w:tcPr>
          <w:p w14:paraId="6BD1F5DE" w14:textId="1E7DCBC7" w:rsidR="00A753D1" w:rsidRPr="00714243" w:rsidRDefault="00A753D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 xml:space="preserve">Spodbujanje aktivnega delovanja organov,  organizacijskih enot in delovnih teles ter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skrb za </w:t>
            </w: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>njihov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</w:t>
            </w: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 xml:space="preserve"> ustrezn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</w:t>
            </w: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 xml:space="preserve"> strokovn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</w:t>
            </w: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 xml:space="preserve"> sestav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</w:t>
            </w: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70D24912" w14:textId="0560BA4B" w:rsidR="00A753D1" w:rsidRDefault="00A753D1" w:rsidP="00D1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A753D1">
              <w:rPr>
                <w:rFonts w:eastAsia="Calibri" w:cstheme="minorHAnsi"/>
                <w:sz w:val="20"/>
                <w:szCs w:val="20"/>
                <w:lang w:eastAsia="sl-SI"/>
              </w:rPr>
              <w:t>Število delujočih organov, organizacijskih enot in delovnih teles.</w:t>
            </w:r>
          </w:p>
        </w:tc>
      </w:tr>
      <w:tr w:rsidR="00A753D1" w:rsidRPr="003715CB" w14:paraId="65780E71" w14:textId="77777777" w:rsidTr="00041703">
        <w:trPr>
          <w:trHeight w:val="810"/>
        </w:trPr>
        <w:tc>
          <w:tcPr>
            <w:tcW w:w="5671" w:type="dxa"/>
            <w:vMerge/>
            <w:vAlign w:val="center"/>
          </w:tcPr>
          <w:p w14:paraId="00F359D5" w14:textId="77777777" w:rsidR="00A753D1" w:rsidRPr="00765879" w:rsidRDefault="00A753D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14:paraId="12C9DEE1" w14:textId="16BF7004" w:rsidR="00A753D1" w:rsidDel="00A753D1" w:rsidRDefault="00A753D1" w:rsidP="00D1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A753D1">
              <w:rPr>
                <w:rFonts w:eastAsia="Calibri" w:cstheme="minorHAnsi"/>
                <w:sz w:val="20"/>
                <w:szCs w:val="20"/>
                <w:lang w:eastAsia="sl-SI"/>
              </w:rPr>
              <w:t>Strokovnost sestave organov, organizacijskih enot in delovnih teles.</w:t>
            </w:r>
          </w:p>
        </w:tc>
      </w:tr>
      <w:tr w:rsidR="00D72B77" w:rsidRPr="00765879" w14:paraId="42A61C17" w14:textId="77777777" w:rsidTr="00BC1EB3">
        <w:trPr>
          <w:trHeight w:val="266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26F93D01" w14:textId="77777777" w:rsidR="00D72B77" w:rsidRPr="00765879" w:rsidRDefault="00D72B77" w:rsidP="00BC1EB3">
            <w:pPr>
              <w:widowControl w:val="0"/>
              <w:spacing w:before="120" w:after="120" w:line="288" w:lineRule="auto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>Strateško področje 2: IZOBRAŽEVALNA DEJAVNOST</w:t>
            </w:r>
          </w:p>
        </w:tc>
      </w:tr>
      <w:tr w:rsidR="00765879" w:rsidRPr="00A82D19" w14:paraId="184DD649" w14:textId="77777777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14:paraId="79907831" w14:textId="77777777" w:rsidR="00765879" w:rsidRPr="00A82D19" w:rsidRDefault="00765879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365FE7D6" w14:textId="77777777" w:rsidR="00765879" w:rsidRPr="00A82D19" w:rsidRDefault="00765879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7822A0" w:rsidRPr="003715CB" w14:paraId="2B6F614D" w14:textId="77777777" w:rsidTr="00BC1EB3">
        <w:trPr>
          <w:trHeight w:val="304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7D226451" w14:textId="77777777" w:rsidR="007822A0" w:rsidRPr="00765879" w:rsidRDefault="007822A0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765879">
              <w:rPr>
                <w:b w:val="0"/>
                <w:sz w:val="20"/>
                <w:szCs w:val="20"/>
              </w:rPr>
              <w:t xml:space="preserve">Strateški cilj 3: </w:t>
            </w:r>
            <w:r w:rsidRPr="00765879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POVEČANJE ŠTEVILA VPISANIH ŠTUDENTOV</w:t>
            </w:r>
          </w:p>
        </w:tc>
      </w:tr>
      <w:tr w:rsidR="00765879" w:rsidRPr="003715CB" w14:paraId="01F46737" w14:textId="77777777" w:rsidTr="000B21C9">
        <w:trPr>
          <w:trHeight w:val="476"/>
        </w:trPr>
        <w:tc>
          <w:tcPr>
            <w:tcW w:w="5671" w:type="dxa"/>
            <w:vAlign w:val="center"/>
          </w:tcPr>
          <w:p w14:paraId="6AF493C6" w14:textId="6AD77635" w:rsidR="00765879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Vzpostavljen bo Center za promocijo NU, ki bo skrbel za generalno, dodatno in inovativno promocija študijskih programov NU z namenom povečanja vpisa v 1. letnike vseh študijskih programov NU.</w:t>
            </w:r>
          </w:p>
        </w:tc>
        <w:tc>
          <w:tcPr>
            <w:tcW w:w="5103" w:type="dxa"/>
            <w:vAlign w:val="center"/>
          </w:tcPr>
          <w:p w14:paraId="43D5F3BD" w14:textId="2634811A" w:rsidR="00765879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vpisanih študentov v 1. letnike vseh študijskih programov NU.</w:t>
            </w:r>
          </w:p>
        </w:tc>
      </w:tr>
      <w:tr w:rsidR="00765879" w:rsidRPr="003715CB" w14:paraId="6FCC32D9" w14:textId="77777777" w:rsidTr="00BC1EB3">
        <w:trPr>
          <w:trHeight w:val="176"/>
        </w:trPr>
        <w:tc>
          <w:tcPr>
            <w:tcW w:w="5671" w:type="dxa"/>
            <w:shd w:val="clear" w:color="auto" w:fill="FFF2CC" w:themeFill="accent4" w:themeFillTint="33"/>
            <w:vAlign w:val="center"/>
          </w:tcPr>
          <w:p w14:paraId="18285C62" w14:textId="474999E3" w:rsidR="00765879" w:rsidRPr="00765879" w:rsidRDefault="00765879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Strateški cilj 4</w:t>
            </w:r>
            <w:r w:rsidRPr="00765879">
              <w:rPr>
                <w:b w:val="0"/>
                <w:sz w:val="20"/>
                <w:szCs w:val="20"/>
              </w:rPr>
              <w:t xml:space="preserve">: </w:t>
            </w:r>
            <w:r w:rsidR="0035472E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 xml:space="preserve">POSODABLJANJE </w:t>
            </w:r>
            <w:r w:rsidRPr="00765879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ŠTUDIJSKIH PROGRAMOV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14:paraId="5F6CE64E" w14:textId="77777777" w:rsidR="00765879" w:rsidRDefault="00765879" w:rsidP="00BC1EB3">
            <w:pPr>
              <w:rPr>
                <w:sz w:val="20"/>
                <w:szCs w:val="20"/>
              </w:rPr>
            </w:pPr>
          </w:p>
        </w:tc>
      </w:tr>
      <w:tr w:rsidR="0035472E" w:rsidRPr="003715CB" w14:paraId="17492468" w14:textId="77777777" w:rsidTr="00835609">
        <w:trPr>
          <w:trHeight w:val="1390"/>
        </w:trPr>
        <w:tc>
          <w:tcPr>
            <w:tcW w:w="5671" w:type="dxa"/>
            <w:vAlign w:val="center"/>
          </w:tcPr>
          <w:p w14:paraId="07C799FC" w14:textId="6DA17254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Posodabljanje obstoječih študijskih programov ob upoštevanju nacionalnih in evropskih smernic za kakovost ter mnenja potencialnih delodajalcev.</w:t>
            </w:r>
          </w:p>
        </w:tc>
        <w:tc>
          <w:tcPr>
            <w:tcW w:w="5103" w:type="dxa"/>
            <w:vAlign w:val="center"/>
          </w:tcPr>
          <w:p w14:paraId="24B6C51F" w14:textId="65ABEAB0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posodobljenih študijskih programov, glede na ugotovljene potrebe.</w:t>
            </w:r>
          </w:p>
          <w:p w14:paraId="0F6B026F" w14:textId="24B45A8C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35472E" w:rsidRPr="003715CB" w14:paraId="24C69D3B" w14:textId="77777777" w:rsidTr="00643327">
        <w:trPr>
          <w:trHeight w:val="1054"/>
        </w:trPr>
        <w:tc>
          <w:tcPr>
            <w:tcW w:w="5671" w:type="dxa"/>
            <w:vAlign w:val="center"/>
          </w:tcPr>
          <w:p w14:paraId="1FD86A83" w14:textId="77777777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Razvoj novih študijskih programov. </w:t>
            </w:r>
          </w:p>
        </w:tc>
        <w:tc>
          <w:tcPr>
            <w:tcW w:w="5103" w:type="dxa"/>
            <w:vAlign w:val="center"/>
          </w:tcPr>
          <w:p w14:paraId="4C7AF99B" w14:textId="0E527613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novih študijskih programov.</w:t>
            </w:r>
          </w:p>
        </w:tc>
      </w:tr>
      <w:tr w:rsidR="00C30AFF" w:rsidRPr="003715CB" w14:paraId="4D094A00" w14:textId="77777777" w:rsidTr="00BC1EB3">
        <w:trPr>
          <w:trHeight w:val="33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3FBCE77C" w14:textId="77777777" w:rsidR="00C30AFF" w:rsidRPr="00C30AFF" w:rsidRDefault="00C30AFF" w:rsidP="00BC1EB3">
            <w:pPr>
              <w:rPr>
                <w:sz w:val="20"/>
                <w:szCs w:val="20"/>
              </w:rPr>
            </w:pPr>
            <w:r w:rsidRPr="00C30AFF">
              <w:rPr>
                <w:sz w:val="20"/>
                <w:szCs w:val="20"/>
              </w:rPr>
              <w:t xml:space="preserve">Strateški cilj 5: </w:t>
            </w:r>
            <w:r w:rsidRPr="00C30AFF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POVEČANJE INTERDISCIPLINARNOSTI ŠTUDIJA NA NOVI UNIVERZI</w:t>
            </w:r>
          </w:p>
        </w:tc>
      </w:tr>
      <w:tr w:rsidR="0035472E" w:rsidRPr="003715CB" w14:paraId="247BEA20" w14:textId="77777777" w:rsidTr="00E91EE3">
        <w:trPr>
          <w:trHeight w:val="996"/>
        </w:trPr>
        <w:tc>
          <w:tcPr>
            <w:tcW w:w="5671" w:type="dxa"/>
            <w:vAlign w:val="center"/>
          </w:tcPr>
          <w:p w14:paraId="7868C68D" w14:textId="605C0D21" w:rsidR="0035472E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Izdelava strategije in uvedba sistema zunanje izbirnosti predmetov znotraj NU.</w:t>
            </w:r>
          </w:p>
        </w:tc>
        <w:tc>
          <w:tcPr>
            <w:tcW w:w="5103" w:type="dxa"/>
            <w:vAlign w:val="center"/>
          </w:tcPr>
          <w:p w14:paraId="66960648" w14:textId="6FA2AA57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Uspešnost delovanja sistema zunanje izbirnosti.  </w:t>
            </w:r>
          </w:p>
        </w:tc>
      </w:tr>
      <w:tr w:rsidR="00C30AFF" w:rsidRPr="003715CB" w14:paraId="74214BC0" w14:textId="77777777" w:rsidTr="00BC1EB3">
        <w:trPr>
          <w:trHeight w:val="538"/>
        </w:trPr>
        <w:tc>
          <w:tcPr>
            <w:tcW w:w="5671" w:type="dxa"/>
            <w:vAlign w:val="center"/>
          </w:tcPr>
          <w:p w14:paraId="38973DB3" w14:textId="4E6DCE94" w:rsidR="00C30AFF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Zagotavljanje meril in standardov potrebnih za akreditacijo že vloženih interdisciplinarnih študijskih programov.</w:t>
            </w:r>
          </w:p>
        </w:tc>
        <w:tc>
          <w:tcPr>
            <w:tcW w:w="5103" w:type="dxa"/>
            <w:vAlign w:val="center"/>
          </w:tcPr>
          <w:p w14:paraId="1D26CA08" w14:textId="66753CF7" w:rsidR="00C30AFF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akreditiranih interdisciplinarnih študijskih programov.</w:t>
            </w:r>
          </w:p>
        </w:tc>
      </w:tr>
      <w:tr w:rsidR="005257EE" w:rsidRPr="003715CB" w14:paraId="63E558F9" w14:textId="77777777" w:rsidTr="00BC1EB3">
        <w:trPr>
          <w:trHeight w:val="369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3C640374" w14:textId="77777777" w:rsidR="005257EE" w:rsidRDefault="005257EE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Strateški cilj 6</w:t>
            </w:r>
            <w:r w:rsidRPr="00C30AFF">
              <w:rPr>
                <w:sz w:val="20"/>
                <w:szCs w:val="20"/>
              </w:rPr>
              <w:t xml:space="preserve">: </w:t>
            </w:r>
            <w:r w:rsidRPr="005257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MODERNIZACIJA IZVAJANJA PEDAGOŠKEGA PROCESA</w:t>
            </w:r>
          </w:p>
        </w:tc>
      </w:tr>
      <w:tr w:rsidR="00C30AFF" w:rsidRPr="003715CB" w14:paraId="233602CD" w14:textId="77777777" w:rsidTr="00D102CA">
        <w:trPr>
          <w:trHeight w:val="680"/>
        </w:trPr>
        <w:tc>
          <w:tcPr>
            <w:tcW w:w="5671" w:type="dxa"/>
            <w:vAlign w:val="center"/>
          </w:tcPr>
          <w:p w14:paraId="70932E82" w14:textId="3AB0B602" w:rsidR="00C30AFF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Vzpostavitev sistema nadzora nad ažurnim</w:t>
            </w:r>
            <w:r w:rsidR="004432F2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 kakovostnim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 izvajanjem predvidenega obsega vsebin v e-učilnici ter izboljšanje sistema obveščanja uporabnikov portala e-učilnica.</w:t>
            </w:r>
          </w:p>
        </w:tc>
        <w:tc>
          <w:tcPr>
            <w:tcW w:w="5103" w:type="dxa"/>
            <w:vAlign w:val="center"/>
          </w:tcPr>
          <w:p w14:paraId="596C1A33" w14:textId="3751245C" w:rsidR="00C30AFF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študijskih programov članic NU, kjer se del študijskega procesa izvaja preko e-učilnice.</w:t>
            </w:r>
          </w:p>
        </w:tc>
      </w:tr>
      <w:tr w:rsidR="0035472E" w:rsidRPr="003715CB" w14:paraId="5AD36F51" w14:textId="77777777" w:rsidTr="00E30145">
        <w:trPr>
          <w:trHeight w:val="1086"/>
        </w:trPr>
        <w:tc>
          <w:tcPr>
            <w:tcW w:w="5671" w:type="dxa"/>
            <w:vAlign w:val="center"/>
          </w:tcPr>
          <w:p w14:paraId="6A163801" w14:textId="3EEC9D1C" w:rsidR="0035472E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lastRenderedPageBreak/>
              <w:t xml:space="preserve">Nadgradnja portala </w:t>
            </w:r>
            <w:proofErr w:type="spellStart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eUniverza</w:t>
            </w:r>
            <w:proofErr w:type="spellEnd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 s posnetki in e-gradivi.</w:t>
            </w:r>
          </w:p>
        </w:tc>
        <w:tc>
          <w:tcPr>
            <w:tcW w:w="5103" w:type="dxa"/>
            <w:vAlign w:val="center"/>
          </w:tcPr>
          <w:p w14:paraId="716F6DC7" w14:textId="05EC459F" w:rsidR="0035472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posodobljenih/novih posnetkov in e-gradiv na portalu </w:t>
            </w:r>
            <w:proofErr w:type="spellStart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eUniverza</w:t>
            </w:r>
            <w:proofErr w:type="spellEnd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35472E" w:rsidRPr="003715CB" w14:paraId="33668DE4" w14:textId="77777777" w:rsidTr="00E30145">
        <w:trPr>
          <w:trHeight w:val="1086"/>
        </w:trPr>
        <w:tc>
          <w:tcPr>
            <w:tcW w:w="5671" w:type="dxa"/>
            <w:vAlign w:val="center"/>
          </w:tcPr>
          <w:p w14:paraId="5DCC4729" w14:textId="1C12BA89" w:rsidR="0035472E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Nakup opreme in vzpostavitev sistema spletnega prenosa predavanj v živo (live-</w:t>
            </w:r>
            <w:proofErr w:type="spellStart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streaming</w:t>
            </w:r>
            <w:proofErr w:type="spellEnd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).</w:t>
            </w:r>
          </w:p>
        </w:tc>
        <w:tc>
          <w:tcPr>
            <w:tcW w:w="5103" w:type="dxa"/>
            <w:vAlign w:val="center"/>
          </w:tcPr>
          <w:p w14:paraId="00D2D5F3" w14:textId="6D8E681F" w:rsidR="0035472E" w:rsidRPr="00D102CA" w:rsidRDefault="0035472E" w:rsidP="00D102CA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Uspešnost sistema spletnega prenosa predavanj v živo.</w:t>
            </w:r>
          </w:p>
        </w:tc>
      </w:tr>
      <w:tr w:rsidR="005257EE" w:rsidRPr="003715CB" w14:paraId="5B879453" w14:textId="77777777" w:rsidTr="00BC1EB3">
        <w:trPr>
          <w:trHeight w:val="42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7387259" w14:textId="54379BAF" w:rsidR="005257EE" w:rsidRPr="005257EE" w:rsidRDefault="005257EE" w:rsidP="00D102CA">
            <w:pPr>
              <w:jc w:val="both"/>
              <w:rPr>
                <w:rFonts w:cstheme="minorHAnsi"/>
                <w:sz w:val="20"/>
                <w:szCs w:val="20"/>
                <w:lang w:eastAsia="sl-SI"/>
              </w:rPr>
            </w:pPr>
            <w:r w:rsidRPr="005257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Strateški cilj 7: </w:t>
            </w:r>
            <w:r w:rsidR="0035472E" w:rsidRPr="0035472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VKLJUČEVANJE TUJIH/DOMAČIH STROKOVNJAKOV IN VISOKOŠOLSKIH UČITELJEV V ŠTUDIJSKI PROCES NA NOVI UNIVERZI</w:t>
            </w:r>
          </w:p>
        </w:tc>
      </w:tr>
      <w:tr w:rsidR="005257EE" w:rsidRPr="003715CB" w14:paraId="31492EB8" w14:textId="77777777" w:rsidTr="00BC1EB3">
        <w:trPr>
          <w:trHeight w:val="538"/>
        </w:trPr>
        <w:tc>
          <w:tcPr>
            <w:tcW w:w="5671" w:type="dxa"/>
            <w:vAlign w:val="center"/>
          </w:tcPr>
          <w:p w14:paraId="7B5225BE" w14:textId="745C67E1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Vključevanje tujih/domačih strokovnjakov in visokošolskih učiteljev v študijski proces na NU ter prijava na morebitne razpise za sofinanciranje gostovanja.</w:t>
            </w:r>
          </w:p>
        </w:tc>
        <w:tc>
          <w:tcPr>
            <w:tcW w:w="5103" w:type="dxa"/>
            <w:vAlign w:val="center"/>
          </w:tcPr>
          <w:p w14:paraId="197ED1F4" w14:textId="58304631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vključenih tujih/domačih strokovnjakov in visokošolskih učiteljev v študijski proces na NU.</w:t>
            </w:r>
          </w:p>
        </w:tc>
      </w:tr>
      <w:tr w:rsidR="00245FD2" w:rsidRPr="003715CB" w14:paraId="042406EE" w14:textId="77777777" w:rsidTr="00BC1EB3">
        <w:trPr>
          <w:trHeight w:val="425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5F9221B5" w14:textId="77777777" w:rsidR="00245FD2" w:rsidRPr="005257EE" w:rsidRDefault="00245FD2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3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INTERNACIONALIZACIJA</w:t>
            </w:r>
          </w:p>
        </w:tc>
      </w:tr>
      <w:tr w:rsidR="005257EE" w:rsidRPr="00A82D19" w14:paraId="31CC18D9" w14:textId="77777777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14:paraId="752A9AB2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7E7D8E61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572F78" w:rsidRPr="003715CB" w14:paraId="646D2316" w14:textId="77777777" w:rsidTr="00BC1EB3">
        <w:trPr>
          <w:trHeight w:val="25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7DE20F2D" w14:textId="77777777" w:rsidR="00572F78" w:rsidRPr="00245FD2" w:rsidRDefault="00572F78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245FD2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Strateški cilj 8</w:t>
            </w:r>
            <w:r w:rsidRPr="00245FD2">
              <w:rPr>
                <w:b w:val="0"/>
                <w:sz w:val="20"/>
                <w:szCs w:val="20"/>
              </w:rPr>
              <w:t xml:space="preserve">: </w:t>
            </w:r>
            <w:r w:rsidRPr="00245FD2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OBLIKOVANJE STRATEŠKIH PARTNERSTEV S TUJIMI VISOKOŠOLSKIMI ZAVODI</w:t>
            </w:r>
          </w:p>
        </w:tc>
      </w:tr>
      <w:tr w:rsidR="005257EE" w:rsidRPr="003715CB" w14:paraId="6E40B800" w14:textId="77777777" w:rsidTr="00D102CA">
        <w:trPr>
          <w:trHeight w:val="680"/>
        </w:trPr>
        <w:tc>
          <w:tcPr>
            <w:tcW w:w="5671" w:type="dxa"/>
            <w:vAlign w:val="center"/>
          </w:tcPr>
          <w:p w14:paraId="49E7F901" w14:textId="4F01B658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35472E">
              <w:rPr>
                <w:rFonts w:eastAsia="Calibri" w:cstheme="minorHAnsi"/>
                <w:sz w:val="20"/>
                <w:szCs w:val="20"/>
                <w:lang w:eastAsia="sl-SI"/>
              </w:rPr>
              <w:t>Sodna registracija Mednarodne zveze univerz v kateri deluje NU in zagon delovanja slednje.</w:t>
            </w:r>
          </w:p>
        </w:tc>
        <w:tc>
          <w:tcPr>
            <w:tcW w:w="5103" w:type="dxa"/>
            <w:vAlign w:val="center"/>
          </w:tcPr>
          <w:p w14:paraId="6348786C" w14:textId="65AA4D82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35472E">
              <w:rPr>
                <w:rFonts w:eastAsia="Calibri" w:cstheme="minorHAnsi"/>
                <w:sz w:val="20"/>
                <w:szCs w:val="20"/>
                <w:lang w:eastAsia="sl-SI"/>
              </w:rPr>
              <w:t>Vključenost Nove univerze v konzorcij oz. mednarodno zvezo univerz.</w:t>
            </w:r>
          </w:p>
        </w:tc>
      </w:tr>
      <w:tr w:rsidR="00245FD2" w:rsidRPr="003715CB" w14:paraId="79D59E55" w14:textId="77777777" w:rsidTr="00BC1EB3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3DFC000" w14:textId="77777777" w:rsidR="00245FD2" w:rsidRPr="00245FD2" w:rsidRDefault="00245FD2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9</w:t>
            </w:r>
            <w:r w:rsidRPr="00245FD2">
              <w:rPr>
                <w:sz w:val="20"/>
                <w:szCs w:val="20"/>
              </w:rPr>
              <w:t xml:space="preserve">: </w:t>
            </w:r>
            <w:r w:rsidRPr="00245FD2">
              <w:rPr>
                <w:rFonts w:eastAsia="Calibri" w:cstheme="minorHAnsi"/>
                <w:sz w:val="20"/>
                <w:szCs w:val="20"/>
                <w:lang w:eastAsia="sl-SI"/>
              </w:rPr>
              <w:t>IZVAJANJE ŠTUDIJSKIH PROGRAMOV V TUJINI</w:t>
            </w:r>
          </w:p>
        </w:tc>
      </w:tr>
      <w:tr w:rsidR="005257EE" w:rsidRPr="003715CB" w14:paraId="3DA6C0B5" w14:textId="77777777" w:rsidTr="000B21C9">
        <w:trPr>
          <w:trHeight w:val="590"/>
        </w:trPr>
        <w:tc>
          <w:tcPr>
            <w:tcW w:w="5671" w:type="dxa"/>
            <w:vAlign w:val="center"/>
          </w:tcPr>
          <w:p w14:paraId="13281705" w14:textId="77777777" w:rsidR="005257EE" w:rsidRPr="00D102CA" w:rsidRDefault="00245FD2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Krepitev in izvajanje transnacionalnega visokošolskega izobraževanja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(VTI)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0407E347" w14:textId="77777777" w:rsidR="005257EE" w:rsidRPr="00D102CA" w:rsidRDefault="00867B1C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študijskih programov v okviru visokošolskega transnacionalnega izobraževanja (VTI)</w:t>
            </w:r>
            <w:r w:rsidR="00245FD2" w:rsidRPr="00D102CA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5257EE" w:rsidRPr="003715CB" w14:paraId="457F763F" w14:textId="77777777" w:rsidTr="00D102CA">
        <w:trPr>
          <w:trHeight w:val="850"/>
        </w:trPr>
        <w:tc>
          <w:tcPr>
            <w:tcW w:w="5671" w:type="dxa"/>
            <w:vAlign w:val="center"/>
          </w:tcPr>
          <w:p w14:paraId="413BB625" w14:textId="46C18865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35472E">
              <w:rPr>
                <w:rFonts w:eastAsia="Calibri" w:cstheme="minorHAnsi"/>
                <w:sz w:val="20"/>
                <w:szCs w:val="20"/>
                <w:lang w:eastAsia="sl-SI"/>
              </w:rPr>
              <w:t>Aktivno iskanje, sklenitev dogovora s tujim visokošolskim zavodom za namene izvajanja skupnih študijskih programov in njihova akreditacija/priglasitev.</w:t>
            </w:r>
          </w:p>
        </w:tc>
        <w:tc>
          <w:tcPr>
            <w:tcW w:w="5103" w:type="dxa"/>
            <w:vAlign w:val="center"/>
          </w:tcPr>
          <w:p w14:paraId="2AC793D7" w14:textId="02744E11" w:rsidR="005257EE" w:rsidRPr="00D102CA" w:rsidRDefault="0035472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skupnih študijskih programov, ki jih NU izvaja s tujimi visokošolskimi zavodi.</w:t>
            </w:r>
          </w:p>
        </w:tc>
      </w:tr>
      <w:tr w:rsidR="00245FD2" w:rsidRPr="003715CB" w14:paraId="77DC48D1" w14:textId="77777777" w:rsidTr="00BC1EB3">
        <w:trPr>
          <w:trHeight w:val="30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5E8323E" w14:textId="77777777" w:rsidR="00245FD2" w:rsidRPr="00245FD2" w:rsidRDefault="00245FD2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Strateški cilj 10: </w:t>
            </w:r>
            <w:r w:rsidRPr="00245FD2">
              <w:rPr>
                <w:rFonts w:eastAsia="Calibri" w:cstheme="minorHAnsi"/>
                <w:sz w:val="20"/>
                <w:szCs w:val="20"/>
                <w:lang w:eastAsia="sl-SI"/>
              </w:rPr>
              <w:t>KREPITEV MEDNARODNEGA ZNANSTVENO RAZISKOVALNEGA IN RAZVOJNEGA SODELOVANJA</w:t>
            </w:r>
          </w:p>
        </w:tc>
      </w:tr>
      <w:tr w:rsidR="00B34985" w:rsidRPr="003715CB" w14:paraId="494B3C69" w14:textId="77777777" w:rsidTr="006D2F8B">
        <w:trPr>
          <w:trHeight w:val="1031"/>
        </w:trPr>
        <w:tc>
          <w:tcPr>
            <w:tcW w:w="5671" w:type="dxa"/>
            <w:vAlign w:val="center"/>
          </w:tcPr>
          <w:p w14:paraId="58E26107" w14:textId="44E5C2CE" w:rsidR="00B34985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Podpora in vzpodbuda članom raziskovalnih skupin univerze in njenih članic pri raziskovalnem delu oz. pri izbiri revij za objavljanje znanstvenih člankov.</w:t>
            </w:r>
          </w:p>
        </w:tc>
        <w:tc>
          <w:tcPr>
            <w:tcW w:w="5103" w:type="dxa"/>
            <w:vAlign w:val="center"/>
          </w:tcPr>
          <w:p w14:paraId="7FB120FB" w14:textId="77777777" w:rsidR="00B34985" w:rsidRPr="00D102CA" w:rsidRDefault="00B34985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objav v mednarodnih revijah indeksiran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ih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Web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of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Science in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Scopus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11489B" w:rsidRPr="003715CB" w14:paraId="7AE087AD" w14:textId="77777777" w:rsidTr="00D102CA">
        <w:trPr>
          <w:trHeight w:val="850"/>
        </w:trPr>
        <w:tc>
          <w:tcPr>
            <w:tcW w:w="5671" w:type="dxa"/>
            <w:vAlign w:val="center"/>
          </w:tcPr>
          <w:p w14:paraId="27DE03D6" w14:textId="5B029EA8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Delo na organizaciji, izvedbi in promociji mednarodnih</w:t>
            </w:r>
            <w:r w:rsidR="004432F2">
              <w:rPr>
                <w:rFonts w:eastAsia="Calibri" w:cstheme="minorHAnsi"/>
                <w:sz w:val="20"/>
                <w:szCs w:val="20"/>
                <w:lang w:eastAsia="sl-SI"/>
              </w:rPr>
              <w:t xml:space="preserve"> akademskih forumov, delavnic in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 konferenc NU.</w:t>
            </w:r>
          </w:p>
          <w:p w14:paraId="66597277" w14:textId="704DCD9E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08935C5" w14:textId="272E453C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11489B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organiziranih mednarodnih </w:t>
            </w:r>
            <w:r w:rsidR="004432F2">
              <w:rPr>
                <w:rFonts w:eastAsia="Calibri" w:cstheme="minorHAnsi"/>
                <w:sz w:val="20"/>
                <w:szCs w:val="20"/>
                <w:lang w:eastAsia="sl-SI"/>
              </w:rPr>
              <w:t xml:space="preserve">akademskih forumov, delavnic, </w:t>
            </w:r>
            <w:r w:rsidRPr="0011489B">
              <w:rPr>
                <w:rFonts w:eastAsia="Calibri" w:cstheme="minorHAnsi"/>
                <w:sz w:val="20"/>
                <w:szCs w:val="20"/>
                <w:lang w:eastAsia="sl-SI"/>
              </w:rPr>
              <w:t>konferenc v okviru univerze oz. število udeležb raziskovalcev NU na mednarodnih konferencah.</w:t>
            </w:r>
          </w:p>
        </w:tc>
      </w:tr>
      <w:tr w:rsidR="0011489B" w:rsidRPr="003715CB" w14:paraId="3D80330F" w14:textId="77777777" w:rsidTr="00930D78">
        <w:trPr>
          <w:trHeight w:val="558"/>
        </w:trPr>
        <w:tc>
          <w:tcPr>
            <w:tcW w:w="5671" w:type="dxa"/>
            <w:vAlign w:val="center"/>
          </w:tcPr>
          <w:p w14:paraId="08A91611" w14:textId="5568B820" w:rsidR="0011489B" w:rsidRPr="002343AD" w:rsidRDefault="0011489B" w:rsidP="00D102CA">
            <w:pPr>
              <w:jc w:val="both"/>
              <w:rPr>
                <w:sz w:val="20"/>
                <w:szCs w:val="20"/>
              </w:rPr>
            </w:pPr>
            <w:r w:rsidRPr="0011489B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 xml:space="preserve">Spodbujanje in sofinanciranje udeležbe raziskovalcev NU na mednarodnih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konferencah</w:t>
            </w:r>
            <w:r w:rsidRPr="0011489B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Merge/>
            <w:vAlign w:val="center"/>
          </w:tcPr>
          <w:p w14:paraId="59C03363" w14:textId="77777777" w:rsidR="0011489B" w:rsidDel="0011489B" w:rsidRDefault="0011489B" w:rsidP="00B34985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4D7809" w:rsidRPr="003715CB" w14:paraId="2FFA9629" w14:textId="77777777" w:rsidTr="00BC1EB3">
        <w:trPr>
          <w:trHeight w:val="30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7EB7BD6" w14:textId="77777777" w:rsidR="004D7809" w:rsidRPr="003715CB" w:rsidRDefault="004D7809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trateški cilj 11: </w:t>
            </w:r>
            <w:r w:rsidRPr="004D7809">
              <w:rPr>
                <w:sz w:val="20"/>
                <w:szCs w:val="20"/>
              </w:rPr>
              <w:t>KREPITEV MEDNARODNE MOBIL</w:t>
            </w:r>
            <w:r>
              <w:rPr>
                <w:sz w:val="20"/>
                <w:szCs w:val="20"/>
              </w:rPr>
              <w:t>NOSTI ZNOTRAJ PROGRAMA ERASMUS+</w:t>
            </w:r>
          </w:p>
        </w:tc>
      </w:tr>
      <w:tr w:rsidR="002343AD" w:rsidRPr="003715CB" w14:paraId="310F2C8C" w14:textId="77777777" w:rsidTr="00D102CA">
        <w:trPr>
          <w:trHeight w:val="680"/>
        </w:trPr>
        <w:tc>
          <w:tcPr>
            <w:tcW w:w="5671" w:type="dxa"/>
            <w:vAlign w:val="center"/>
          </w:tcPr>
          <w:p w14:paraId="3B5F7F6E" w14:textId="3522CA11" w:rsidR="002343AD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Oblikovanje delovne skupine za uspešno pripravo in oddajo vloge za pridobitev univerzitetne ECHE listine.</w:t>
            </w:r>
          </w:p>
        </w:tc>
        <w:tc>
          <w:tcPr>
            <w:tcW w:w="5103" w:type="dxa"/>
            <w:vAlign w:val="center"/>
          </w:tcPr>
          <w:p w14:paraId="59A88550" w14:textId="2AF69239" w:rsidR="002343AD" w:rsidRPr="00D102CA" w:rsidRDefault="0011489B" w:rsidP="00D102CA">
            <w:pPr>
              <w:spacing w:before="120" w:after="120" w:line="288" w:lineRule="auto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Pridobitev ECHE listine.</w:t>
            </w:r>
          </w:p>
        </w:tc>
      </w:tr>
      <w:tr w:rsidR="0011489B" w:rsidRPr="003715CB" w14:paraId="2685E7AF" w14:textId="77777777" w:rsidTr="00D102CA">
        <w:trPr>
          <w:trHeight w:val="1021"/>
        </w:trPr>
        <w:tc>
          <w:tcPr>
            <w:tcW w:w="5671" w:type="dxa"/>
            <w:vAlign w:val="center"/>
          </w:tcPr>
          <w:p w14:paraId="74BC67C9" w14:textId="77777777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Spodbujanje mednarodne mobilnosti študentov, visokošolskih učiteljev in strokovnih sodelavcev NU.</w:t>
            </w:r>
          </w:p>
          <w:p w14:paraId="2E2CD293" w14:textId="50546614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8971178" w14:textId="775ED63C" w:rsidR="0011489B" w:rsidRPr="00D102CA" w:rsidRDefault="0011489B" w:rsidP="00D102CA">
            <w:pPr>
              <w:spacing w:before="120" w:after="120" w:line="288" w:lineRule="auto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11489B">
              <w:rPr>
                <w:rFonts w:eastAsia="Calibri" w:cstheme="minorHAnsi"/>
                <w:sz w:val="20"/>
                <w:szCs w:val="20"/>
                <w:lang w:eastAsia="sl-SI"/>
              </w:rPr>
              <w:t>Število izvedenih mobilnosti študentov, mobilnosti osebja za namen poučevanja ter mobilnosti osebja za namen usposabljanja.</w:t>
            </w:r>
          </w:p>
        </w:tc>
      </w:tr>
      <w:tr w:rsidR="0011489B" w:rsidRPr="003715CB" w14:paraId="50A813F1" w14:textId="77777777" w:rsidTr="00D102CA">
        <w:trPr>
          <w:trHeight w:val="755"/>
        </w:trPr>
        <w:tc>
          <w:tcPr>
            <w:tcW w:w="5671" w:type="dxa"/>
            <w:vAlign w:val="center"/>
          </w:tcPr>
          <w:p w14:paraId="15F145E6" w14:textId="018110F6" w:rsidR="0011489B" w:rsidRPr="00F53C4E" w:rsidRDefault="0011489B" w:rsidP="00D102CA">
            <w:pPr>
              <w:jc w:val="both"/>
              <w:rPr>
                <w:sz w:val="20"/>
                <w:szCs w:val="20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Vodenje postopkov mobilnosti, promocija </w:t>
            </w:r>
            <w:proofErr w:type="spellStart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Erasmus</w:t>
            </w:r>
            <w:proofErr w:type="spellEnd"/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+ mobilnosti.</w:t>
            </w:r>
          </w:p>
        </w:tc>
        <w:tc>
          <w:tcPr>
            <w:tcW w:w="5103" w:type="dxa"/>
            <w:vMerge/>
            <w:vAlign w:val="center"/>
          </w:tcPr>
          <w:p w14:paraId="64133A15" w14:textId="77777777" w:rsidR="0011489B" w:rsidRPr="0011489B" w:rsidRDefault="0011489B" w:rsidP="00B34985">
            <w:pP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572F78" w:rsidRPr="003715CB" w14:paraId="78786BB1" w14:textId="77777777" w:rsidTr="00BC1EB3">
        <w:trPr>
          <w:trHeight w:val="305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59C86931" w14:textId="77777777" w:rsidR="00572F78" w:rsidRDefault="00572F78" w:rsidP="00BC1EB3">
            <w:pPr>
              <w:spacing w:before="120" w:after="120" w:line="288" w:lineRule="auto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4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RAZISKOVALNA DEJAVNOST</w:t>
            </w:r>
          </w:p>
        </w:tc>
      </w:tr>
      <w:tr w:rsidR="005257EE" w:rsidRPr="00A82D19" w14:paraId="6C29F5A6" w14:textId="77777777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14:paraId="3EC85EE9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7EDE2FE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CF5D48" w:rsidRPr="003715CB" w14:paraId="47685BD2" w14:textId="77777777" w:rsidTr="00BC1EB3">
        <w:trPr>
          <w:trHeight w:val="39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20C1D72B" w14:textId="0C4DBBC7" w:rsidR="00CF5D48" w:rsidRPr="00572F78" w:rsidRDefault="00CF5D48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Strateški cilj 1</w:t>
            </w:r>
            <w:r w:rsidR="0011489B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2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572F78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DVIG ZNANSTVENO RAZISKOVALNE USPEŠNOSTI NOVE UNIVERZE</w:t>
            </w:r>
          </w:p>
        </w:tc>
      </w:tr>
      <w:tr w:rsidR="00D72B77" w:rsidRPr="003715CB" w14:paraId="7230EF1C" w14:textId="77777777" w:rsidTr="00D102CA">
        <w:trPr>
          <w:trHeight w:val="624"/>
        </w:trPr>
        <w:tc>
          <w:tcPr>
            <w:tcW w:w="5671" w:type="dxa"/>
            <w:vAlign w:val="center"/>
          </w:tcPr>
          <w:p w14:paraId="099760E8" w14:textId="1D297E10" w:rsidR="00D72B77" w:rsidRPr="00D102CA" w:rsidRDefault="00D72B77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43560">
              <w:rPr>
                <w:rFonts w:eastAsia="Calibri" w:cstheme="minorHAnsi"/>
                <w:sz w:val="20"/>
                <w:szCs w:val="20"/>
                <w:lang w:eastAsia="sl-SI"/>
              </w:rPr>
              <w:lastRenderedPageBreak/>
              <w:t>Vključevanje novih članov v raziskovalne skupine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 in njenih članic</w:t>
            </w:r>
            <w:r w:rsidR="0011489B" w:rsidRPr="00D102CA">
              <w:rPr>
                <w:rFonts w:eastAsia="Calibri" w:cstheme="minorHAnsi"/>
                <w:sz w:val="20"/>
                <w:szCs w:val="20"/>
                <w:lang w:eastAsia="sl-SI"/>
              </w:rPr>
              <w:t>, tudi s strani doktorskih študentov.</w:t>
            </w:r>
          </w:p>
        </w:tc>
        <w:tc>
          <w:tcPr>
            <w:tcW w:w="5103" w:type="dxa"/>
            <w:vAlign w:val="center"/>
          </w:tcPr>
          <w:p w14:paraId="0F6D610D" w14:textId="3DBD16F2" w:rsidR="00D72B77" w:rsidRPr="00D102CA" w:rsidRDefault="00054F5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</w:t>
            </w:r>
            <w:r w:rsidR="00D72B77">
              <w:rPr>
                <w:rFonts w:eastAsia="Calibri" w:cstheme="minorHAnsi"/>
                <w:sz w:val="20"/>
                <w:szCs w:val="20"/>
                <w:lang w:eastAsia="sl-SI"/>
              </w:rPr>
              <w:t xml:space="preserve">članov </w:t>
            </w:r>
            <w:r w:rsidR="0011489B">
              <w:rPr>
                <w:rFonts w:eastAsia="Calibri" w:cstheme="minorHAnsi"/>
                <w:sz w:val="20"/>
                <w:szCs w:val="20"/>
                <w:lang w:eastAsia="sl-SI"/>
              </w:rPr>
              <w:t xml:space="preserve">v </w:t>
            </w:r>
            <w:r w:rsidR="00D72B77">
              <w:rPr>
                <w:rFonts w:eastAsia="Calibri" w:cstheme="minorHAnsi"/>
                <w:sz w:val="20"/>
                <w:szCs w:val="20"/>
                <w:lang w:eastAsia="sl-SI"/>
              </w:rPr>
              <w:t>raziskovaln</w:t>
            </w:r>
            <w:r w:rsidR="00506AFB">
              <w:rPr>
                <w:rFonts w:eastAsia="Calibri" w:cstheme="minorHAnsi"/>
                <w:sz w:val="20"/>
                <w:szCs w:val="20"/>
                <w:lang w:eastAsia="sl-SI"/>
              </w:rPr>
              <w:t>ih skupin</w:t>
            </w:r>
            <w:r w:rsidR="0011489B">
              <w:rPr>
                <w:rFonts w:eastAsia="Calibri" w:cstheme="minorHAnsi"/>
                <w:sz w:val="20"/>
                <w:szCs w:val="20"/>
                <w:lang w:eastAsia="sl-SI"/>
              </w:rPr>
              <w:t>ah</w:t>
            </w:r>
            <w:r w:rsidR="00506AFB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 in njenih članic</w:t>
            </w:r>
            <w:r w:rsidR="00D72B77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11489B" w:rsidRPr="003715CB" w14:paraId="761333B4" w14:textId="77777777" w:rsidTr="00D102CA">
        <w:trPr>
          <w:trHeight w:val="810"/>
        </w:trPr>
        <w:tc>
          <w:tcPr>
            <w:tcW w:w="5671" w:type="dxa"/>
            <w:vAlign w:val="center"/>
          </w:tcPr>
          <w:p w14:paraId="02FF38B9" w14:textId="5BD5EB33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Pozivanje članov raziskovalnih skupin k pripravi in objavi znanstvenih člankov</w:t>
            </w:r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 izvirnih znanstvenih monografij.</w:t>
            </w:r>
          </w:p>
          <w:p w14:paraId="5A51F8A3" w14:textId="42EC23C8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5BC5B9C" w14:textId="5D23748D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11489B">
              <w:rPr>
                <w:rFonts w:eastAsia="Calibri" w:cstheme="minorHAnsi"/>
                <w:sz w:val="20"/>
                <w:szCs w:val="20"/>
                <w:lang w:eastAsia="sl-SI"/>
              </w:rPr>
              <w:t>Število izvirnih znanstvenih člankov, izdanih s strani članov raziskovalne skupine NU in njenih članic</w:t>
            </w:r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i</w:t>
            </w:r>
            <w:r w:rsidR="00256B40" w:rsidRPr="00256B40">
              <w:rPr>
                <w:rFonts w:eastAsia="Calibri" w:cstheme="minorHAnsi"/>
                <w:sz w:val="20"/>
                <w:szCs w:val="20"/>
                <w:lang w:eastAsia="sl-SI"/>
              </w:rPr>
              <w:t>n izvirnih znanstvenih monografij.</w:t>
            </w:r>
          </w:p>
        </w:tc>
      </w:tr>
      <w:tr w:rsidR="0011489B" w:rsidRPr="003715CB" w14:paraId="3D2B9A47" w14:textId="77777777" w:rsidTr="00D102CA">
        <w:trPr>
          <w:trHeight w:val="794"/>
        </w:trPr>
        <w:tc>
          <w:tcPr>
            <w:tcW w:w="5671" w:type="dxa"/>
            <w:vAlign w:val="center"/>
          </w:tcPr>
          <w:p w14:paraId="2976B055" w14:textId="11C5B97C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Organizacija raziskovalnega usposabljanja, z namenom izobraževanja o tem kako doseči čim večjo odmevnost rezultatov raziskovalnega projekta.</w:t>
            </w:r>
          </w:p>
        </w:tc>
        <w:tc>
          <w:tcPr>
            <w:tcW w:w="5103" w:type="dxa"/>
            <w:vMerge/>
            <w:vAlign w:val="center"/>
          </w:tcPr>
          <w:p w14:paraId="49578239" w14:textId="77777777" w:rsidR="0011489B" w:rsidRPr="00707769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11489B" w:rsidRPr="003715CB" w14:paraId="3138B807" w14:textId="77777777" w:rsidTr="00D102CA">
        <w:trPr>
          <w:trHeight w:val="624"/>
        </w:trPr>
        <w:tc>
          <w:tcPr>
            <w:tcW w:w="5671" w:type="dxa"/>
            <w:vAlign w:val="center"/>
          </w:tcPr>
          <w:p w14:paraId="59B37DE5" w14:textId="343B1FAA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Pozivanje članov raziskovalnih skupin k pripravi in objavi znanstvenih člankov.</w:t>
            </w:r>
          </w:p>
        </w:tc>
        <w:tc>
          <w:tcPr>
            <w:tcW w:w="5103" w:type="dxa"/>
            <w:vMerge w:val="restart"/>
            <w:vAlign w:val="center"/>
          </w:tcPr>
          <w:p w14:paraId="55F19D9F" w14:textId="5B3A7973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</w:t>
            </w:r>
            <w:r w:rsidRPr="00707769">
              <w:rPr>
                <w:rFonts w:eastAsia="Calibri" w:cstheme="minorHAnsi"/>
                <w:sz w:val="20"/>
                <w:szCs w:val="20"/>
                <w:lang w:eastAsia="sl-SI"/>
              </w:rPr>
              <w:t xml:space="preserve"> čistih citatov</w:t>
            </w:r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v bazah </w:t>
            </w:r>
            <w:proofErr w:type="spellStart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>Web</w:t>
            </w:r>
            <w:proofErr w:type="spellEnd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>of</w:t>
            </w:r>
            <w:proofErr w:type="spellEnd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Science, </w:t>
            </w:r>
            <w:proofErr w:type="spellStart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>Scopus</w:t>
            </w:r>
            <w:proofErr w:type="spellEnd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 Google </w:t>
            </w:r>
            <w:proofErr w:type="spellStart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>Scholar</w:t>
            </w:r>
            <w:proofErr w:type="spellEnd"/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11489B" w:rsidRPr="003715CB" w14:paraId="53EEDB08" w14:textId="77777777" w:rsidTr="00D102CA">
        <w:trPr>
          <w:trHeight w:val="907"/>
        </w:trPr>
        <w:tc>
          <w:tcPr>
            <w:tcW w:w="5671" w:type="dxa"/>
            <w:vAlign w:val="center"/>
          </w:tcPr>
          <w:p w14:paraId="39D23310" w14:textId="1BC7E819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Organizacija raziskovalnega usposabljanja s strani Projektne pisarne NU z namenom izobraževanja o tem kako doseči čim večjo odmevnost rezultatov raziskovalnega projekta.</w:t>
            </w:r>
          </w:p>
        </w:tc>
        <w:tc>
          <w:tcPr>
            <w:tcW w:w="5103" w:type="dxa"/>
            <w:vMerge/>
            <w:vAlign w:val="center"/>
          </w:tcPr>
          <w:p w14:paraId="4FFDBAAA" w14:textId="77777777" w:rsidR="0011489B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5257EE" w:rsidRPr="003715CB" w14:paraId="484B79B6" w14:textId="77777777" w:rsidTr="00BC1EB3">
        <w:trPr>
          <w:trHeight w:val="33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67F8A128" w14:textId="6D520F8F" w:rsidR="005257EE" w:rsidRPr="003715CB" w:rsidRDefault="0056322A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trateški cilj 1</w:t>
            </w:r>
            <w:r w:rsidR="0011489B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3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56322A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POVEČANJE DELEŽA FINANCIRANJA RAZISKOVALNE DEJAVNOSTI</w:t>
            </w:r>
          </w:p>
        </w:tc>
      </w:tr>
      <w:tr w:rsidR="0011489B" w:rsidRPr="003715CB" w14:paraId="2B3910CD" w14:textId="77777777" w:rsidTr="0011489B">
        <w:trPr>
          <w:trHeight w:val="258"/>
        </w:trPr>
        <w:tc>
          <w:tcPr>
            <w:tcW w:w="5671" w:type="dxa"/>
            <w:vAlign w:val="center"/>
          </w:tcPr>
          <w:p w14:paraId="12891077" w14:textId="002BD88A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2A22E1">
              <w:rPr>
                <w:rFonts w:eastAsia="Calibri" w:cstheme="minorHAnsi"/>
                <w:sz w:val="20"/>
                <w:szCs w:val="20"/>
                <w:lang w:eastAsia="sl-SI"/>
              </w:rPr>
              <w:t>Prijava na nove raziskovalne projekte, katere koordinira Projekta pisarna NU.</w:t>
            </w:r>
          </w:p>
        </w:tc>
        <w:tc>
          <w:tcPr>
            <w:tcW w:w="5103" w:type="dxa"/>
            <w:vMerge w:val="restart"/>
            <w:vAlign w:val="center"/>
          </w:tcPr>
          <w:p w14:paraId="2F495470" w14:textId="12F98E13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Delež pridobljenih javnih sredstev za znanstveno-raziskovalno dejavnost.</w:t>
            </w:r>
          </w:p>
        </w:tc>
      </w:tr>
      <w:tr w:rsidR="0011489B" w:rsidRPr="003715CB" w14:paraId="10191658" w14:textId="77777777" w:rsidTr="00D102CA">
        <w:trPr>
          <w:trHeight w:val="1871"/>
        </w:trPr>
        <w:tc>
          <w:tcPr>
            <w:tcW w:w="5671" w:type="dxa"/>
            <w:vAlign w:val="center"/>
          </w:tcPr>
          <w:p w14:paraId="617B9844" w14:textId="67A217A6" w:rsidR="0011489B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11489B">
              <w:rPr>
                <w:rFonts w:eastAsia="Calibri" w:cstheme="minorHAnsi"/>
                <w:sz w:val="20"/>
                <w:szCs w:val="20"/>
                <w:lang w:eastAsia="sl-SI"/>
              </w:rPr>
              <w:t>Samoiniciativna priprava predlogov za CRP projekte s strani raziskovalnih skupin NU in njenih članic ter posredovanje slednjih na posamezna ministrstva z namenom izboljšanja možnosti za pridobitev raziskovalnih projektov. Organizacija raziskovalnega usposabljanja s strani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Projektne pisarne NU z namenom izobraževanja o tem, na katere raziskovalne projekte se je najbolje prijavljati.</w:t>
            </w:r>
          </w:p>
        </w:tc>
        <w:tc>
          <w:tcPr>
            <w:tcW w:w="5103" w:type="dxa"/>
            <w:vMerge/>
            <w:vAlign w:val="center"/>
          </w:tcPr>
          <w:p w14:paraId="5D8D483C" w14:textId="77777777" w:rsidR="0011489B" w:rsidRPr="00D102CA" w:rsidRDefault="0011489B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5257EE" w:rsidRPr="003715CB" w14:paraId="6D1A8393" w14:textId="77777777" w:rsidTr="00BC1EB3">
        <w:trPr>
          <w:trHeight w:val="39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7464038" w14:textId="0ACC206F" w:rsidR="005257EE" w:rsidRPr="003715CB" w:rsidRDefault="00105426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trateški cilj 1</w:t>
            </w:r>
            <w:r w:rsidR="002A22E1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4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105426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KREPITEV ZNANSTVENO-RAZISKOVALNEGA DELA ŠTUDENTOV</w:t>
            </w:r>
          </w:p>
        </w:tc>
      </w:tr>
      <w:tr w:rsidR="002A22E1" w:rsidRPr="003715CB" w14:paraId="4C7FB8DC" w14:textId="77777777" w:rsidTr="00D102CA">
        <w:trPr>
          <w:trHeight w:val="397"/>
        </w:trPr>
        <w:tc>
          <w:tcPr>
            <w:tcW w:w="5671" w:type="dxa"/>
          </w:tcPr>
          <w:p w14:paraId="2D369970" w14:textId="5404F846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Pridobitev novih znanstveno raziskovalnih projektov.</w:t>
            </w:r>
          </w:p>
        </w:tc>
        <w:tc>
          <w:tcPr>
            <w:tcW w:w="5103" w:type="dxa"/>
            <w:vMerge w:val="restart"/>
            <w:vAlign w:val="center"/>
          </w:tcPr>
          <w:p w14:paraId="22A91B0E" w14:textId="13388A3A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vključenih doktorskih študentov v znanstveno raziskovalno delo NU.</w:t>
            </w:r>
          </w:p>
        </w:tc>
      </w:tr>
      <w:tr w:rsidR="002A22E1" w:rsidRPr="003715CB" w14:paraId="166E3448" w14:textId="77777777" w:rsidTr="00D102CA">
        <w:trPr>
          <w:trHeight w:val="567"/>
        </w:trPr>
        <w:tc>
          <w:tcPr>
            <w:tcW w:w="5671" w:type="dxa"/>
          </w:tcPr>
          <w:p w14:paraId="6DA10266" w14:textId="601BC3F6" w:rsidR="002A22E1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Vključevanje doktorskih študentov v znanstveno raziskovalne projekte.</w:t>
            </w:r>
          </w:p>
        </w:tc>
        <w:tc>
          <w:tcPr>
            <w:tcW w:w="5103" w:type="dxa"/>
            <w:vMerge/>
            <w:vAlign w:val="center"/>
          </w:tcPr>
          <w:p w14:paraId="54E5FED6" w14:textId="77777777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2A22E1" w:rsidRPr="003715CB" w14:paraId="2D9AE2D0" w14:textId="77777777" w:rsidTr="00D102CA">
        <w:trPr>
          <w:trHeight w:val="397"/>
        </w:trPr>
        <w:tc>
          <w:tcPr>
            <w:tcW w:w="5671" w:type="dxa"/>
          </w:tcPr>
          <w:p w14:paraId="1CD86E26" w14:textId="243992B5" w:rsidR="002A22E1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Povabilo k udeležbi na raziskovalnem usposabljanju.</w:t>
            </w:r>
          </w:p>
        </w:tc>
        <w:tc>
          <w:tcPr>
            <w:tcW w:w="5103" w:type="dxa"/>
            <w:vMerge/>
            <w:vAlign w:val="center"/>
          </w:tcPr>
          <w:p w14:paraId="36065FED" w14:textId="77777777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2A22E1" w:rsidRPr="003715CB" w14:paraId="077244B3" w14:textId="77777777" w:rsidTr="00631508">
        <w:trPr>
          <w:trHeight w:val="1064"/>
        </w:trPr>
        <w:tc>
          <w:tcPr>
            <w:tcW w:w="5671" w:type="dxa"/>
            <w:vAlign w:val="center"/>
          </w:tcPr>
          <w:p w14:paraId="5AE3A26B" w14:textId="7B1B874B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2A22E1">
              <w:rPr>
                <w:rFonts w:eastAsia="Calibri" w:cstheme="minorHAnsi"/>
                <w:sz w:val="20"/>
                <w:szCs w:val="20"/>
                <w:lang w:eastAsia="sl-SI"/>
              </w:rPr>
              <w:t xml:space="preserve">Delo na organizaciji in promociji </w:t>
            </w:r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akademskih forumov, delavnic, </w:t>
            </w:r>
            <w:r w:rsidRPr="002A22E1">
              <w:rPr>
                <w:rFonts w:eastAsia="Calibri" w:cstheme="minorHAnsi"/>
                <w:sz w:val="20"/>
                <w:szCs w:val="20"/>
                <w:lang w:eastAsia="sl-SI"/>
              </w:rPr>
              <w:t>konferenc, kjer lahko študentje svoje delo predstavijo.</w:t>
            </w:r>
          </w:p>
        </w:tc>
        <w:tc>
          <w:tcPr>
            <w:tcW w:w="5103" w:type="dxa"/>
            <w:vAlign w:val="center"/>
          </w:tcPr>
          <w:p w14:paraId="69DABC2F" w14:textId="2EB7E4B0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organiziranih </w:t>
            </w:r>
            <w:r w:rsidR="00256B40" w:rsidRP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akademskih forumov, delavnic,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konferenc, kjer lahko študentje predstavijo svoje delo.</w:t>
            </w:r>
          </w:p>
        </w:tc>
      </w:tr>
      <w:tr w:rsidR="00105426" w:rsidRPr="003715CB" w14:paraId="708014EF" w14:textId="77777777" w:rsidTr="00BC1EB3">
        <w:trPr>
          <w:trHeight w:val="498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7E5A7D26" w14:textId="77777777" w:rsidR="00105426" w:rsidRPr="003715CB" w:rsidRDefault="00105426" w:rsidP="00BC1EB3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5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SODELOVANJE Z OKOLJEM</w:t>
            </w:r>
          </w:p>
        </w:tc>
      </w:tr>
      <w:tr w:rsidR="005257EE" w:rsidRPr="00A82D19" w14:paraId="49D7A5F1" w14:textId="77777777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7CB01805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0A967A1F" w14:textId="77777777"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105426" w:rsidRPr="00105426" w14:paraId="0B9FAB45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7105EE9B" w14:textId="5FCCF1AD" w:rsidR="00105426" w:rsidRPr="00105426" w:rsidRDefault="00105426" w:rsidP="00BC1EB3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1</w:t>
            </w:r>
            <w:r w:rsidR="002A22E1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5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105426">
              <w:rPr>
                <w:rFonts w:eastAsia="Calibri" w:cstheme="minorHAnsi"/>
                <w:sz w:val="20"/>
                <w:szCs w:val="20"/>
                <w:lang w:eastAsia="sl-SI"/>
              </w:rPr>
              <w:t>KREPITI DRUŽBENO ODGOVORNO IN TVORNO SODELOVANJE S ŠIRŠIM DOMAČIM IN TUJIM OKOLJEM</w:t>
            </w:r>
          </w:p>
        </w:tc>
      </w:tr>
      <w:tr w:rsidR="005257EE" w:rsidRPr="003715CB" w14:paraId="799381DA" w14:textId="77777777" w:rsidTr="00D102CA">
        <w:trPr>
          <w:trHeight w:val="1191"/>
        </w:trPr>
        <w:tc>
          <w:tcPr>
            <w:tcW w:w="5671" w:type="dxa"/>
            <w:vAlign w:val="center"/>
          </w:tcPr>
          <w:p w14:paraId="077A2C65" w14:textId="12542C20" w:rsidR="005257EE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Delo na organizaciji, promociji in izvedbi strokovnih dogodkov namenjenih širši javnosti (to so: akademski forumi, okrogle mize, predavanja domačih/tujih strokovnjakov, mednarodne konference, spomladanske/jesenske šole).</w:t>
            </w:r>
          </w:p>
        </w:tc>
        <w:tc>
          <w:tcPr>
            <w:tcW w:w="5103" w:type="dxa"/>
            <w:vAlign w:val="center"/>
          </w:tcPr>
          <w:p w14:paraId="7505C640" w14:textId="6DBB266B" w:rsidR="005257EE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organiziranih oz. izvedenih strokovnih dogodkov namenjenih širši javnosti na NU in njenih članicah.</w:t>
            </w:r>
          </w:p>
        </w:tc>
      </w:tr>
      <w:tr w:rsidR="000525EE" w:rsidRPr="003715CB" w14:paraId="5C89FE25" w14:textId="77777777" w:rsidTr="00BC1EB3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2AE98B19" w14:textId="422D7C73" w:rsidR="000525EE" w:rsidRPr="000525EE" w:rsidRDefault="000525EE" w:rsidP="00BC1EB3">
            <w:pPr>
              <w:rPr>
                <w:sz w:val="20"/>
                <w:szCs w:val="20"/>
              </w:rPr>
            </w:pPr>
            <w:r w:rsidRPr="000525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1</w:t>
            </w:r>
            <w:r w:rsidR="002A22E1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6</w:t>
            </w:r>
            <w:r w:rsidRPr="000525EE">
              <w:rPr>
                <w:sz w:val="20"/>
                <w:szCs w:val="20"/>
              </w:rPr>
              <w:t xml:space="preserve">: </w:t>
            </w:r>
            <w:r w:rsidRPr="000525EE">
              <w:rPr>
                <w:rFonts w:eastAsia="Calibri" w:cstheme="minorHAnsi"/>
                <w:sz w:val="20"/>
                <w:szCs w:val="20"/>
                <w:lang w:eastAsia="sl-SI"/>
              </w:rPr>
              <w:t>DELOVANJE KARIERNEGA CENTRA NOVE UNIVERZE</w:t>
            </w:r>
          </w:p>
        </w:tc>
      </w:tr>
      <w:tr w:rsidR="002A22E1" w:rsidRPr="003715CB" w14:paraId="57C382AC" w14:textId="77777777" w:rsidTr="00D102CA">
        <w:trPr>
          <w:trHeight w:val="680"/>
        </w:trPr>
        <w:tc>
          <w:tcPr>
            <w:tcW w:w="5671" w:type="dxa"/>
            <w:vAlign w:val="center"/>
          </w:tcPr>
          <w:p w14:paraId="60884D75" w14:textId="4B8C69B7" w:rsidR="002A22E1" w:rsidRPr="002A22E1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Vzpostavitev KC na ravni NU, ki deluje v okviru Centra za karierni razvoj in mednarodno mobilnost.</w:t>
            </w:r>
          </w:p>
        </w:tc>
        <w:tc>
          <w:tcPr>
            <w:tcW w:w="5103" w:type="dxa"/>
            <w:vMerge w:val="restart"/>
            <w:vAlign w:val="center"/>
          </w:tcPr>
          <w:p w14:paraId="6810636F" w14:textId="6D4B5760" w:rsidR="002A22E1" w:rsidRPr="00D102CA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2A22E1">
              <w:rPr>
                <w:rFonts w:eastAsia="Calibri" w:cstheme="minorHAnsi"/>
                <w:sz w:val="20"/>
                <w:szCs w:val="20"/>
                <w:lang w:eastAsia="sl-SI"/>
              </w:rPr>
              <w:t>Število izvedenih aktivnosti s strani KC NU.</w:t>
            </w:r>
          </w:p>
        </w:tc>
      </w:tr>
      <w:tr w:rsidR="002A22E1" w:rsidRPr="003715CB" w14:paraId="46513B72" w14:textId="77777777" w:rsidTr="00D102CA">
        <w:trPr>
          <w:trHeight w:val="397"/>
        </w:trPr>
        <w:tc>
          <w:tcPr>
            <w:tcW w:w="5671" w:type="dxa"/>
            <w:vAlign w:val="center"/>
          </w:tcPr>
          <w:p w14:paraId="2469D02F" w14:textId="5816E0AF" w:rsidR="002A22E1" w:rsidRPr="00F67F21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CF2FA5">
              <w:rPr>
                <w:rFonts w:eastAsia="Calibri" w:cstheme="minorHAnsi"/>
                <w:sz w:val="20"/>
                <w:szCs w:val="20"/>
                <w:lang w:eastAsia="sl-SI"/>
              </w:rPr>
              <w:t>Organizacija, izvedba in promocija aktivnosti KC NU.</w:t>
            </w:r>
          </w:p>
        </w:tc>
        <w:tc>
          <w:tcPr>
            <w:tcW w:w="5103" w:type="dxa"/>
            <w:vMerge/>
            <w:vAlign w:val="center"/>
          </w:tcPr>
          <w:p w14:paraId="0A645659" w14:textId="421F0225" w:rsidR="002A22E1" w:rsidRDefault="002A22E1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350DDE" w:rsidRPr="003715CB" w14:paraId="794AA92F" w14:textId="77777777" w:rsidTr="00BC1EB3">
        <w:tc>
          <w:tcPr>
            <w:tcW w:w="5671" w:type="dxa"/>
            <w:shd w:val="clear" w:color="auto" w:fill="2F5496" w:themeFill="accent5" w:themeFillShade="BF"/>
            <w:vAlign w:val="center"/>
          </w:tcPr>
          <w:p w14:paraId="35625736" w14:textId="77777777"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6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ŠTUDENTI</w:t>
            </w:r>
          </w:p>
        </w:tc>
        <w:tc>
          <w:tcPr>
            <w:tcW w:w="5103" w:type="dxa"/>
            <w:shd w:val="clear" w:color="auto" w:fill="2F5496" w:themeFill="accent5" w:themeFillShade="BF"/>
            <w:vAlign w:val="center"/>
          </w:tcPr>
          <w:p w14:paraId="18B88172" w14:textId="77777777" w:rsidR="00350DDE" w:rsidRPr="00785F3A" w:rsidRDefault="00350DDE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350DDE" w:rsidRPr="00A82D19" w14:paraId="024C21B8" w14:textId="77777777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404967CF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lastRenderedPageBreak/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5B20543A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14:paraId="166F1960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3DB651DB" w14:textId="7E63ED11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1</w:t>
            </w:r>
            <w:r w:rsidR="00E5488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7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C14C1F">
              <w:rPr>
                <w:rFonts w:eastAsia="Calibri" w:cstheme="minorHAnsi"/>
                <w:sz w:val="20"/>
                <w:szCs w:val="20"/>
                <w:lang w:eastAsia="sl-SI"/>
              </w:rPr>
              <w:t>VKLJUČENOST ŠTUDENTSKE POPULACIJE NA VSEH SEGMENTIH DELOVANJA UNIVERZE</w:t>
            </w:r>
          </w:p>
        </w:tc>
      </w:tr>
      <w:tr w:rsidR="00E5488E" w:rsidRPr="003715CB" w14:paraId="5ECB74A9" w14:textId="77777777" w:rsidTr="00DC0D65">
        <w:trPr>
          <w:trHeight w:val="1070"/>
        </w:trPr>
        <w:tc>
          <w:tcPr>
            <w:tcW w:w="5671" w:type="dxa"/>
            <w:vAlign w:val="center"/>
          </w:tcPr>
          <w:p w14:paraId="4F3D8F19" w14:textId="77777777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Pozivanje k aktivnemu delovanju predstavnikov študentov, ki so vključeni v organizacijsko shemo NU.</w:t>
            </w:r>
          </w:p>
          <w:p w14:paraId="3F2D480C" w14:textId="64BBD9F6" w:rsidR="00E5488E" w:rsidRPr="00D102CA" w:rsidRDefault="00E5488E" w:rsidP="00D102CA">
            <w:pPr>
              <w:ind w:left="-47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14:paraId="2CCBDDF7" w14:textId="77777777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Vključenost oz. sodelovanje študentov v organih/delovnih telesih NU.</w:t>
            </w:r>
          </w:p>
          <w:p w14:paraId="4731DBD6" w14:textId="0B0C1E69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E5488E" w:rsidRPr="003715CB" w14:paraId="314CC4AC" w14:textId="77777777" w:rsidTr="00EA08F3">
        <w:trPr>
          <w:trHeight w:val="826"/>
        </w:trPr>
        <w:tc>
          <w:tcPr>
            <w:tcW w:w="5671" w:type="dxa"/>
            <w:vAlign w:val="center"/>
          </w:tcPr>
          <w:p w14:paraId="6C42DF30" w14:textId="5D34B9B2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E5488E">
              <w:rPr>
                <w:rFonts w:eastAsia="Calibri" w:cstheme="minorHAnsi"/>
                <w:sz w:val="20"/>
                <w:szCs w:val="20"/>
                <w:lang w:eastAsia="sl-SI"/>
              </w:rPr>
              <w:t xml:space="preserve">Organizacija </w:t>
            </w:r>
            <w:r w:rsidRPr="00CF2FA5">
              <w:rPr>
                <w:rFonts w:eastAsia="Calibri" w:cstheme="minorHAnsi"/>
                <w:sz w:val="20"/>
                <w:szCs w:val="20"/>
                <w:lang w:eastAsia="sl-SI"/>
              </w:rPr>
              <w:t>rednih</w:t>
            </w:r>
            <w:r w:rsidRPr="00E5488E">
              <w:rPr>
                <w:rFonts w:eastAsia="Calibri" w:cstheme="minorHAnsi"/>
                <w:sz w:val="20"/>
                <w:szCs w:val="20"/>
                <w:lang w:eastAsia="sl-SI"/>
              </w:rPr>
              <w:t xml:space="preserve"> sestankov med vodstvom in Študentskim svetom NU (ŠS NU).</w:t>
            </w:r>
          </w:p>
        </w:tc>
        <w:tc>
          <w:tcPr>
            <w:tcW w:w="5103" w:type="dxa"/>
            <w:vAlign w:val="center"/>
          </w:tcPr>
          <w:p w14:paraId="396C70CD" w14:textId="4AC4CA0A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sestankov med vodstvom in ŠS NU.</w:t>
            </w:r>
          </w:p>
          <w:p w14:paraId="5C793756" w14:textId="7A87BC71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350DDE" w:rsidRPr="00105426" w14:paraId="4EF3B4BA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1CB460D6" w14:textId="445540F3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1</w:t>
            </w:r>
            <w:r w:rsidR="00E5488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8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950A33">
              <w:rPr>
                <w:rFonts w:eastAsia="Calibri" w:cstheme="minorHAnsi"/>
                <w:sz w:val="20"/>
                <w:szCs w:val="20"/>
                <w:lang w:eastAsia="sl-SI"/>
              </w:rPr>
              <w:t>AKTIVNA ŠTUDENTSKA POPULACIJA</w:t>
            </w:r>
          </w:p>
        </w:tc>
      </w:tr>
      <w:tr w:rsidR="00E5488E" w:rsidRPr="003715CB" w14:paraId="31E00FAB" w14:textId="77777777" w:rsidTr="00D102CA">
        <w:trPr>
          <w:trHeight w:val="850"/>
        </w:trPr>
        <w:tc>
          <w:tcPr>
            <w:tcW w:w="5671" w:type="dxa"/>
          </w:tcPr>
          <w:p w14:paraId="76692C3E" w14:textId="20E85F79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>Spodbujanje aktivnega delovanja ŠS NU in ŠS posameznih članic ter morebitna dodatna finančna in strokovna pomoč za izvajanje aktivnosti študentov ter promocija njihove dejavnosti in dosežkov.</w:t>
            </w:r>
          </w:p>
        </w:tc>
        <w:tc>
          <w:tcPr>
            <w:tcW w:w="5103" w:type="dxa"/>
          </w:tcPr>
          <w:p w14:paraId="3BD33D36" w14:textId="506D1603" w:rsidR="00E5488E" w:rsidRPr="00950A33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551851">
              <w:rPr>
                <w:rFonts w:eastAsia="Calibri" w:cstheme="minorHAnsi"/>
                <w:sz w:val="20"/>
                <w:szCs w:val="20"/>
                <w:lang w:eastAsia="sl-SI"/>
              </w:rPr>
              <w:t>Aktivnost delovanja ŠS NU in ŠS posamezne članice.</w:t>
            </w:r>
          </w:p>
        </w:tc>
      </w:tr>
      <w:tr w:rsidR="00E5488E" w:rsidRPr="003715CB" w14:paraId="53BB0AC3" w14:textId="77777777" w:rsidTr="00D102CA">
        <w:trPr>
          <w:trHeight w:val="567"/>
        </w:trPr>
        <w:tc>
          <w:tcPr>
            <w:tcW w:w="5671" w:type="dxa"/>
          </w:tcPr>
          <w:p w14:paraId="7BC5DECC" w14:textId="56E40F11" w:rsidR="00E5488E" w:rsidRPr="00254857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 xml:space="preserve">Pozivanje študentov k vključevanju v tutorski sistem ter izvedba usposabljanja za tutorje pred pričetkom opravljanja dela tutorjev. </w:t>
            </w:r>
          </w:p>
        </w:tc>
        <w:tc>
          <w:tcPr>
            <w:tcW w:w="5103" w:type="dxa"/>
          </w:tcPr>
          <w:p w14:paraId="7101237B" w14:textId="03F24071" w:rsidR="00E5488E" w:rsidRPr="00950A33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551851">
              <w:rPr>
                <w:rFonts w:eastAsia="Calibri" w:cstheme="minorHAnsi"/>
                <w:sz w:val="20"/>
                <w:szCs w:val="20"/>
                <w:lang w:eastAsia="sl-SI"/>
              </w:rPr>
              <w:t>Število tutorjev na posamezni članici, ki so vključeni v tutorski sistem.</w:t>
            </w:r>
          </w:p>
        </w:tc>
      </w:tr>
      <w:tr w:rsidR="00E5488E" w:rsidRPr="003715CB" w14:paraId="50E45186" w14:textId="77777777" w:rsidTr="00D102CA">
        <w:trPr>
          <w:trHeight w:val="850"/>
        </w:trPr>
        <w:tc>
          <w:tcPr>
            <w:tcW w:w="5671" w:type="dxa"/>
          </w:tcPr>
          <w:p w14:paraId="4998B607" w14:textId="0622F21F" w:rsidR="00E5488E" w:rsidRPr="00254857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 xml:space="preserve">Spodbujanje aktivnega delovanja </w:t>
            </w:r>
            <w:proofErr w:type="spellStart"/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>Alumni</w:t>
            </w:r>
            <w:proofErr w:type="spellEnd"/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 xml:space="preserve"> klubov posameznih članic ter morebitna dodatna finančna pomoč NU pri organizaciji </w:t>
            </w:r>
            <w:proofErr w:type="spellStart"/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>Alumni</w:t>
            </w:r>
            <w:proofErr w:type="spellEnd"/>
            <w:r w:rsidRPr="004B2AD8">
              <w:rPr>
                <w:rFonts w:eastAsia="Calibri" w:cstheme="minorHAnsi"/>
                <w:sz w:val="20"/>
                <w:szCs w:val="20"/>
                <w:lang w:eastAsia="sl-SI"/>
              </w:rPr>
              <w:t xml:space="preserve"> dogodkov.</w:t>
            </w:r>
          </w:p>
        </w:tc>
        <w:tc>
          <w:tcPr>
            <w:tcW w:w="5103" w:type="dxa"/>
          </w:tcPr>
          <w:p w14:paraId="028C068F" w14:textId="7F9EF03C" w:rsidR="00E5488E" w:rsidRPr="00950A33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551851">
              <w:rPr>
                <w:rFonts w:eastAsia="Calibri" w:cstheme="minorHAnsi"/>
                <w:sz w:val="20"/>
                <w:szCs w:val="20"/>
                <w:lang w:eastAsia="sl-SI"/>
              </w:rPr>
              <w:t xml:space="preserve">Aktivnost delovanja </w:t>
            </w:r>
            <w:proofErr w:type="spellStart"/>
            <w:r w:rsidRPr="00551851">
              <w:rPr>
                <w:rFonts w:eastAsia="Calibri" w:cstheme="minorHAnsi"/>
                <w:sz w:val="20"/>
                <w:szCs w:val="20"/>
                <w:lang w:eastAsia="sl-SI"/>
              </w:rPr>
              <w:t>Alumni</w:t>
            </w:r>
            <w:proofErr w:type="spellEnd"/>
            <w:r w:rsidRPr="00551851">
              <w:rPr>
                <w:rFonts w:eastAsia="Calibri" w:cstheme="minorHAnsi"/>
                <w:sz w:val="20"/>
                <w:szCs w:val="20"/>
                <w:lang w:eastAsia="sl-SI"/>
              </w:rPr>
              <w:t xml:space="preserve"> klubov posameznih članic.</w:t>
            </w:r>
          </w:p>
        </w:tc>
      </w:tr>
      <w:tr w:rsidR="00350DDE" w:rsidRPr="003715CB" w14:paraId="3B522EB4" w14:textId="77777777" w:rsidTr="00D102CA">
        <w:trPr>
          <w:trHeight w:val="567"/>
        </w:trPr>
        <w:tc>
          <w:tcPr>
            <w:tcW w:w="5671" w:type="dxa"/>
            <w:vAlign w:val="center"/>
          </w:tcPr>
          <w:p w14:paraId="621856A6" w14:textId="5A165536" w:rsidR="00350DD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Zagotavljanje finančne in strokovne pomoči (mentorstvo, informiranje študentov o razpisanih tekmovanjih</w:t>
            </w:r>
            <w:r w:rsidR="007124B6">
              <w:rPr>
                <w:rFonts w:eastAsia="Calibri" w:cstheme="minorHAnsi"/>
                <w:sz w:val="20"/>
                <w:szCs w:val="20"/>
                <w:lang w:eastAsia="sl-SI"/>
              </w:rPr>
              <w:t>, varstvo dostojanstva študentov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).</w:t>
            </w:r>
          </w:p>
        </w:tc>
        <w:tc>
          <w:tcPr>
            <w:tcW w:w="5103" w:type="dxa"/>
            <w:vAlign w:val="center"/>
          </w:tcPr>
          <w:p w14:paraId="5AC10E65" w14:textId="00FE0B11" w:rsidR="00350DD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organiziranih lastnih tekmovanj in udeležba na drugih tekmovanjih.</w:t>
            </w:r>
          </w:p>
        </w:tc>
      </w:tr>
      <w:tr w:rsidR="00350DDE" w:rsidRPr="00105426" w14:paraId="73D7088B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5AD68C73" w14:textId="2CFB4B51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teški cilj </w:t>
            </w:r>
            <w:r w:rsidR="00E5488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19</w:t>
            </w:r>
            <w:r w:rsidRPr="00D546C1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ZAPOSLJIVOST DIPLOMANTOV</w:t>
            </w:r>
          </w:p>
        </w:tc>
      </w:tr>
      <w:tr w:rsidR="00350DDE" w:rsidRPr="003715CB" w14:paraId="049541BD" w14:textId="77777777" w:rsidTr="00D102CA">
        <w:trPr>
          <w:trHeight w:val="794"/>
        </w:trPr>
        <w:tc>
          <w:tcPr>
            <w:tcW w:w="5671" w:type="dxa"/>
            <w:vAlign w:val="center"/>
          </w:tcPr>
          <w:p w14:paraId="1B6FA480" w14:textId="726EFC04" w:rsidR="00350DD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E5488E">
              <w:rPr>
                <w:rFonts w:eastAsia="Calibri" w:cstheme="minorHAnsi"/>
                <w:sz w:val="20"/>
                <w:szCs w:val="20"/>
                <w:lang w:eastAsia="sl-SI"/>
              </w:rPr>
              <w:t>Priprava enotnega anketnega vprašalnika za spremljanje zaposljivosti diplomantov ter vsakoletna izvedba ankete preko referatov članic in pridruženih članic NU.</w:t>
            </w:r>
          </w:p>
        </w:tc>
        <w:tc>
          <w:tcPr>
            <w:tcW w:w="5103" w:type="dxa"/>
            <w:vAlign w:val="center"/>
          </w:tcPr>
          <w:p w14:paraId="25067A79" w14:textId="4C84ABB2" w:rsidR="00350DDE" w:rsidRPr="00D102CA" w:rsidRDefault="00E5488E" w:rsidP="00D102CA">
            <w:pPr>
              <w:tabs>
                <w:tab w:val="left" w:pos="945"/>
              </w:tabs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Izvedba vsakoletnega spremljanja zaposljivosti diplomantov.</w:t>
            </w:r>
          </w:p>
        </w:tc>
      </w:tr>
      <w:tr w:rsidR="00350DDE" w:rsidRPr="003715CB" w14:paraId="2E04AFF1" w14:textId="77777777" w:rsidTr="00BC1EB3">
        <w:tc>
          <w:tcPr>
            <w:tcW w:w="5671" w:type="dxa"/>
            <w:shd w:val="clear" w:color="auto" w:fill="2F5496" w:themeFill="accent5" w:themeFillShade="BF"/>
            <w:vAlign w:val="center"/>
          </w:tcPr>
          <w:p w14:paraId="6D07919A" w14:textId="77777777"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7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UPRAVLJANJE S KADRI</w:t>
            </w:r>
          </w:p>
        </w:tc>
        <w:tc>
          <w:tcPr>
            <w:tcW w:w="5103" w:type="dxa"/>
            <w:shd w:val="clear" w:color="auto" w:fill="2F5496" w:themeFill="accent5" w:themeFillShade="BF"/>
            <w:vAlign w:val="center"/>
          </w:tcPr>
          <w:p w14:paraId="5669A5A6" w14:textId="77777777" w:rsidR="00350DDE" w:rsidRPr="003715CB" w:rsidRDefault="00350DDE" w:rsidP="00350DDE">
            <w:pPr>
              <w:rPr>
                <w:sz w:val="20"/>
                <w:szCs w:val="20"/>
              </w:rPr>
            </w:pPr>
          </w:p>
        </w:tc>
      </w:tr>
      <w:tr w:rsidR="00350DDE" w:rsidRPr="00A82D19" w14:paraId="008C884E" w14:textId="77777777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04DE73D7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650EB6ED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14:paraId="37144C46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2A55C286" w14:textId="18BBB491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E5488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0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KAKOVOSTNA KADROVSKA SESTAVA PEDAGOŠKEGA</w:t>
            </w:r>
            <w:r w:rsidR="00E5488E">
              <w:rPr>
                <w:rFonts w:eastAsia="Calibri" w:cstheme="minorHAnsi"/>
                <w:sz w:val="20"/>
                <w:szCs w:val="20"/>
                <w:lang w:eastAsia="sl-SI"/>
              </w:rPr>
              <w:t>/RAZISKOVALNEGA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 xml:space="preserve"> OSEBJA</w:t>
            </w:r>
          </w:p>
        </w:tc>
      </w:tr>
      <w:tr w:rsidR="00350DDE" w:rsidRPr="003715CB" w14:paraId="00B1FFE9" w14:textId="77777777" w:rsidTr="00D102CA">
        <w:trPr>
          <w:trHeight w:val="680"/>
        </w:trPr>
        <w:tc>
          <w:tcPr>
            <w:tcW w:w="5671" w:type="dxa"/>
            <w:vAlign w:val="center"/>
          </w:tcPr>
          <w:p w14:paraId="20BEE43F" w14:textId="5FE1E02E" w:rsidR="00350DD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E5488E">
              <w:rPr>
                <w:rFonts w:eastAsia="Calibri" w:cstheme="minorHAnsi"/>
                <w:sz w:val="20"/>
                <w:szCs w:val="20"/>
                <w:lang w:eastAsia="sl-SI"/>
              </w:rPr>
              <w:t>Sklenitev pogodb o zaposlitvi s pedagoškim/raziskovalnim osebjem, ki ima proste kapacitete.</w:t>
            </w:r>
          </w:p>
        </w:tc>
        <w:tc>
          <w:tcPr>
            <w:tcW w:w="5103" w:type="dxa"/>
            <w:vAlign w:val="center"/>
          </w:tcPr>
          <w:p w14:paraId="564719B4" w14:textId="0424458F" w:rsidR="00350DD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E5488E">
              <w:rPr>
                <w:rFonts w:eastAsia="Calibri" w:cstheme="minorHAnsi"/>
                <w:sz w:val="20"/>
                <w:szCs w:val="20"/>
                <w:lang w:eastAsia="sl-SI"/>
              </w:rPr>
              <w:t>Število zaposlenih oseb pedagoškega/raziskovalnega kadra na NU.</w:t>
            </w:r>
          </w:p>
        </w:tc>
      </w:tr>
      <w:tr w:rsidR="004355F0" w:rsidRPr="003715CB" w14:paraId="15E8E84B" w14:textId="77777777" w:rsidTr="00D102CA">
        <w:trPr>
          <w:trHeight w:val="1361"/>
        </w:trPr>
        <w:tc>
          <w:tcPr>
            <w:tcW w:w="5671" w:type="dxa"/>
            <w:vAlign w:val="center"/>
          </w:tcPr>
          <w:p w14:paraId="47B3483D" w14:textId="0C04D80E" w:rsidR="004355F0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Pozivanje pedagoškega/raziskovalnega kadra NU k pravočasni pripravi in oddaji vloge za ponovno/novo izvolitev v naziv in izvedba postopkov v skladu z Merili za izvolitev v nazive visokošolskih učiteljev, znanstvenih delavcev, visokošolskih sodelavcev in raziskovalnih sodelavcev na NU.</w:t>
            </w:r>
          </w:p>
        </w:tc>
        <w:tc>
          <w:tcPr>
            <w:tcW w:w="5103" w:type="dxa"/>
            <w:vAlign w:val="center"/>
          </w:tcPr>
          <w:p w14:paraId="43E727A6" w14:textId="30E14636" w:rsidR="004355F0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ponovnih/novih izvolitev v naziv na Novi univerzi in njenih članicah.</w:t>
            </w:r>
          </w:p>
        </w:tc>
      </w:tr>
      <w:tr w:rsidR="00E5488E" w:rsidRPr="003715CB" w14:paraId="701BCD64" w14:textId="77777777" w:rsidTr="00D102CA">
        <w:trPr>
          <w:trHeight w:val="850"/>
        </w:trPr>
        <w:tc>
          <w:tcPr>
            <w:tcW w:w="5671" w:type="dxa"/>
          </w:tcPr>
          <w:p w14:paraId="31ADAD67" w14:textId="51BF4A8F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E29AD">
              <w:rPr>
                <w:rFonts w:eastAsia="Calibri" w:cstheme="minorHAnsi"/>
                <w:sz w:val="20"/>
                <w:szCs w:val="20"/>
                <w:lang w:eastAsia="sl-SI"/>
              </w:rPr>
              <w:t xml:space="preserve">Organizacija izobraževanj za pedagoški/raziskovalni kader NU skladno z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Načrtom izobraževanja in usposabljanja visokošolskih učiteljev in sodelavcev ter nepedagoških delavcev.</w:t>
            </w:r>
          </w:p>
        </w:tc>
        <w:tc>
          <w:tcPr>
            <w:tcW w:w="5103" w:type="dxa"/>
          </w:tcPr>
          <w:p w14:paraId="6EE20662" w14:textId="5843A642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977B5B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organiziranih izobraževanj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za pedagoški/raziskovalni kader NU.</w:t>
            </w:r>
          </w:p>
        </w:tc>
      </w:tr>
      <w:tr w:rsidR="00E5488E" w:rsidRPr="003715CB" w14:paraId="30271273" w14:textId="77777777" w:rsidTr="00D102CA">
        <w:trPr>
          <w:trHeight w:val="624"/>
        </w:trPr>
        <w:tc>
          <w:tcPr>
            <w:tcW w:w="5671" w:type="dxa"/>
          </w:tcPr>
          <w:p w14:paraId="7285C429" w14:textId="329C33AE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E29AD">
              <w:rPr>
                <w:rFonts w:eastAsia="Calibri" w:cstheme="minorHAnsi"/>
                <w:sz w:val="20"/>
                <w:szCs w:val="20"/>
                <w:lang w:eastAsia="sl-SI"/>
              </w:rPr>
              <w:t xml:space="preserve">Sofinanciranje udeležbe pedagoškega/raziskovalnega kadra NU na izobraževanjih doma in v tujini. </w:t>
            </w:r>
          </w:p>
        </w:tc>
        <w:tc>
          <w:tcPr>
            <w:tcW w:w="5103" w:type="dxa"/>
          </w:tcPr>
          <w:p w14:paraId="10C351D5" w14:textId="364E2465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sofinanciranih udeležb na izobraževanjih za pedagoški/raziskovalni kader NU doma in v tujini.</w:t>
            </w:r>
          </w:p>
        </w:tc>
      </w:tr>
      <w:tr w:rsidR="00350DDE" w:rsidRPr="00105426" w14:paraId="42052755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232448AF" w14:textId="4D4F5724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E5488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1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KAKOVOSTNA KADROVSKA SESTAVA UPRAVNO-ADMINISTRATIVNEGA IN STROKOVNO-TEHNIČNEGA OSEBJA</w:t>
            </w:r>
          </w:p>
        </w:tc>
      </w:tr>
      <w:tr w:rsidR="00E5488E" w:rsidRPr="003715CB" w14:paraId="332C3E55" w14:textId="77777777" w:rsidTr="00D102CA">
        <w:trPr>
          <w:trHeight w:val="624"/>
        </w:trPr>
        <w:tc>
          <w:tcPr>
            <w:tcW w:w="5671" w:type="dxa"/>
          </w:tcPr>
          <w:p w14:paraId="5AC2C5D6" w14:textId="4B9DF136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Iskanje ustreznega/kakovostnega kadra in sklepanje pogodb o zaposlitvi v službah predvidenih s sistemizacijo NU. </w:t>
            </w:r>
          </w:p>
        </w:tc>
        <w:tc>
          <w:tcPr>
            <w:tcW w:w="5103" w:type="dxa"/>
          </w:tcPr>
          <w:p w14:paraId="7D2C9A66" w14:textId="77CECB87" w:rsidR="00E5488E" w:rsidRPr="00D102CA" w:rsidRDefault="00E5488E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zaposlenih oseb v službah predvidenih s sistemizacijo NU.</w:t>
            </w:r>
          </w:p>
        </w:tc>
      </w:tr>
      <w:tr w:rsidR="00B3102D" w:rsidRPr="003715CB" w14:paraId="0FC18BC5" w14:textId="77777777" w:rsidTr="00D102CA">
        <w:trPr>
          <w:trHeight w:val="567"/>
        </w:trPr>
        <w:tc>
          <w:tcPr>
            <w:tcW w:w="5671" w:type="dxa"/>
          </w:tcPr>
          <w:p w14:paraId="32FBA193" w14:textId="3EA4A39E" w:rsidR="00B3102D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B3102D">
              <w:rPr>
                <w:rFonts w:eastAsia="Calibri" w:cstheme="minorHAnsi"/>
                <w:sz w:val="20"/>
                <w:szCs w:val="20"/>
                <w:lang w:eastAsia="sl-SI"/>
              </w:rPr>
              <w:lastRenderedPageBreak/>
              <w:t>Spodbujanje zaposlenega upravno-administrativnega in strokovno-tehničnega osebja k izobraževanju skladno z Načrtom izobraževanja in usposabljanja visokošolskih učiteljev in sodelavcev ter nepedagoških delavcev.</w:t>
            </w:r>
            <w:r w:rsidRPr="00B3102D">
              <w:rPr>
                <w:rFonts w:eastAsia="Calibri" w:cstheme="minorHAnsi"/>
                <w:sz w:val="20"/>
                <w:szCs w:val="20"/>
                <w:lang w:eastAsia="sl-SI"/>
              </w:rPr>
              <w:tab/>
            </w:r>
          </w:p>
        </w:tc>
        <w:tc>
          <w:tcPr>
            <w:tcW w:w="5103" w:type="dxa"/>
            <w:vMerge w:val="restart"/>
          </w:tcPr>
          <w:p w14:paraId="7A7258B2" w14:textId="1118466B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oseb, ki se izobražuje.</w:t>
            </w:r>
          </w:p>
        </w:tc>
      </w:tr>
      <w:tr w:rsidR="00B3102D" w:rsidRPr="003715CB" w14:paraId="51478469" w14:textId="77777777" w:rsidTr="00D102CA">
        <w:trPr>
          <w:trHeight w:val="567"/>
        </w:trPr>
        <w:tc>
          <w:tcPr>
            <w:tcW w:w="5671" w:type="dxa"/>
          </w:tcPr>
          <w:p w14:paraId="763B75C6" w14:textId="5CAE1245" w:rsidR="00B3102D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B3102D">
              <w:rPr>
                <w:rFonts w:eastAsia="Calibri" w:cstheme="minorHAnsi"/>
                <w:sz w:val="20"/>
                <w:szCs w:val="20"/>
                <w:lang w:eastAsia="sl-SI"/>
              </w:rPr>
              <w:t>Spodbujanje zaposlenega upravno-administrativnega in strokovno-tehničnega osebja k pridobivanju formalne stopnje izobrazbe.</w:t>
            </w:r>
          </w:p>
        </w:tc>
        <w:tc>
          <w:tcPr>
            <w:tcW w:w="5103" w:type="dxa"/>
            <w:vMerge/>
          </w:tcPr>
          <w:p w14:paraId="622219E0" w14:textId="77777777" w:rsidR="00B3102D" w:rsidRDefault="00B3102D" w:rsidP="00E5488E">
            <w:pPr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350DDE" w:rsidRPr="00105426" w14:paraId="54D3C336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35FFF59" w14:textId="5362F6DF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B3102D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2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ZADOVOLJSTVO IN DELAVNA ZAVZETOST ZAPOSLENIH</w:t>
            </w:r>
          </w:p>
        </w:tc>
      </w:tr>
      <w:tr w:rsidR="00B3102D" w:rsidRPr="003715CB" w14:paraId="5A100045" w14:textId="77777777" w:rsidTr="00D102CA">
        <w:trPr>
          <w:trHeight w:val="624"/>
        </w:trPr>
        <w:tc>
          <w:tcPr>
            <w:tcW w:w="5671" w:type="dxa"/>
          </w:tcPr>
          <w:p w14:paraId="5AF4CC34" w14:textId="16A5BA88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Priprava anketnega vprašalnika, njegova izvedba, analiza in realizacija rezultatov/predlogov iz ankete.</w:t>
            </w:r>
          </w:p>
        </w:tc>
        <w:tc>
          <w:tcPr>
            <w:tcW w:w="5103" w:type="dxa"/>
          </w:tcPr>
          <w:p w14:paraId="7C4ABBB5" w14:textId="48AD117D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Izvedba Ankete </w:t>
            </w: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>o zadovoljstvu zaposlen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ih na ravni posamezne članice univerze in realizacija rezultatov.</w:t>
            </w:r>
          </w:p>
        </w:tc>
      </w:tr>
      <w:tr w:rsidR="00B3102D" w:rsidRPr="003715CB" w14:paraId="5BF4F088" w14:textId="77777777" w:rsidTr="00D102CA">
        <w:trPr>
          <w:trHeight w:val="567"/>
        </w:trPr>
        <w:tc>
          <w:tcPr>
            <w:tcW w:w="5671" w:type="dxa"/>
          </w:tcPr>
          <w:p w14:paraId="32E7381A" w14:textId="3284BA02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Izvedba aktivnosti na podlagi Načrta promocije zdravja na delovnem mestu.</w:t>
            </w:r>
          </w:p>
        </w:tc>
        <w:tc>
          <w:tcPr>
            <w:tcW w:w="5103" w:type="dxa"/>
          </w:tcPr>
          <w:p w14:paraId="6B5FF989" w14:textId="4EF8D126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Doslednost izvajanja Načrta promocije zdravja na delovnem mestu.</w:t>
            </w:r>
          </w:p>
        </w:tc>
      </w:tr>
      <w:tr w:rsidR="00350DDE" w:rsidRPr="003715CB" w14:paraId="01143767" w14:textId="77777777" w:rsidTr="00BC1EB3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5EBC83AC" w14:textId="77777777" w:rsidR="00350DDE" w:rsidRPr="003715CB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8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SKRB ZA KAKOVOST</w:t>
            </w:r>
          </w:p>
        </w:tc>
      </w:tr>
      <w:tr w:rsidR="00350DDE" w:rsidRPr="00A82D19" w14:paraId="278083F7" w14:textId="77777777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7F9E1CB1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6FBFADEE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14:paraId="01E2F6CA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085361FE" w14:textId="3A7C908C"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B3102D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3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DOSEGANJE STANDARDOV KAKOVOSTI KOT JIH PREDVIDEVAJO MERILA NAKVIS IN EGS</w:t>
            </w:r>
          </w:p>
        </w:tc>
      </w:tr>
      <w:tr w:rsidR="00B3102D" w:rsidRPr="003715CB" w14:paraId="1FCCAB76" w14:textId="77777777" w:rsidTr="00D102CA">
        <w:trPr>
          <w:trHeight w:val="794"/>
        </w:trPr>
        <w:tc>
          <w:tcPr>
            <w:tcW w:w="5671" w:type="dxa"/>
          </w:tcPr>
          <w:p w14:paraId="7B22489E" w14:textId="57C21A5B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Izdelava samoevalvacijskih poročil (NU, njenih članic in UKNU) in posledično Akcijskih načrtov ter realizacija postavljenih ciljev.</w:t>
            </w:r>
          </w:p>
        </w:tc>
        <w:tc>
          <w:tcPr>
            <w:tcW w:w="5103" w:type="dxa"/>
          </w:tcPr>
          <w:p w14:paraId="6D48E02A" w14:textId="4C7A0A8C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realiziranih ciljev postavljenih na podlagi izdelanih samoevalvacij. </w:t>
            </w:r>
          </w:p>
        </w:tc>
      </w:tr>
      <w:tr w:rsidR="00B3102D" w:rsidRPr="003715CB" w14:paraId="23A92ECC" w14:textId="77777777" w:rsidTr="00D102CA">
        <w:trPr>
          <w:trHeight w:val="622"/>
        </w:trPr>
        <w:tc>
          <w:tcPr>
            <w:tcW w:w="5671" w:type="dxa"/>
          </w:tcPr>
          <w:p w14:paraId="09DA9F9E" w14:textId="00F36F82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A474A">
              <w:rPr>
                <w:rFonts w:eastAsia="Calibri" w:cstheme="minorHAnsi"/>
                <w:sz w:val="20"/>
                <w:szCs w:val="20"/>
                <w:lang w:eastAsia="sl-SI"/>
              </w:rPr>
              <w:t>Vzpostavitev sistema notranje institucionalne evalvacije in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notranje programske evalvacije v </w:t>
            </w:r>
            <w:r w:rsidRPr="00FF48AD">
              <w:rPr>
                <w:rFonts w:eastAsia="Calibri" w:cstheme="minorHAnsi"/>
                <w:sz w:val="20"/>
                <w:szCs w:val="20"/>
                <w:lang w:eastAsia="sl-SI"/>
              </w:rPr>
              <w:t xml:space="preserve">okviru Centra za kakovost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NU.</w:t>
            </w:r>
          </w:p>
        </w:tc>
        <w:tc>
          <w:tcPr>
            <w:tcW w:w="5103" w:type="dxa"/>
          </w:tcPr>
          <w:p w14:paraId="232A2A65" w14:textId="758417FB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izvedenih notranjih evalvacij.</w:t>
            </w:r>
          </w:p>
        </w:tc>
      </w:tr>
      <w:tr w:rsidR="00350DDE" w:rsidRPr="003715CB" w14:paraId="649DA69D" w14:textId="77777777" w:rsidTr="00B531AF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6888D699" w14:textId="77777777" w:rsidR="00350DDE" w:rsidRPr="00680B50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9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UNIVERZITETNA KNJIŽNICA</w:t>
            </w:r>
          </w:p>
        </w:tc>
      </w:tr>
      <w:tr w:rsidR="0053407C" w:rsidRPr="003715CB" w14:paraId="1C70483D" w14:textId="77777777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0F0DB89E" w14:textId="679901AD" w:rsidR="0053407C" w:rsidRPr="00680B50" w:rsidRDefault="0053407C" w:rsidP="00D102CA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Strateški cilj 2</w:t>
            </w:r>
            <w:r w:rsidR="00B3102D">
              <w:rPr>
                <w:rFonts w:eastAsia="Calibri" w:cstheme="minorHAnsi"/>
                <w:sz w:val="20"/>
                <w:szCs w:val="20"/>
                <w:lang w:eastAsia="sl-SI"/>
              </w:rPr>
              <w:t>4</w:t>
            </w: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: DOSEČI STROKOVNE STANDARDE ZA UNIVERZITETNO KNJIŽNICO PO MERILIH ZA IZVAJANJE KNJIŽNIČNE DEJAVNOSTI KOT JAVNE SLUŽBE TER S TEM ZAGOTOVITI KVALITETNO ŠTUDIJSKO OKOLJE IN VIRE PO STANDARDIH IN MERILIH ZA AKREDITACIJO IN EVALVACIJO SLOVENSKIH IN TUJIH VISOKOŠOLSKIH PROGRAMOV.</w:t>
            </w:r>
          </w:p>
        </w:tc>
      </w:tr>
      <w:tr w:rsidR="00B3102D" w:rsidRPr="003715CB" w14:paraId="1589918C" w14:textId="77777777" w:rsidTr="00D102CA">
        <w:tc>
          <w:tcPr>
            <w:tcW w:w="5671" w:type="dxa"/>
            <w:shd w:val="clear" w:color="auto" w:fill="auto"/>
          </w:tcPr>
          <w:p w14:paraId="00ED7691" w14:textId="73E22FAC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Pozivanje zaposlenih za pravočasno oddajo objavljenih prispevkov in monografij ter njihovo ažurno vodenje.</w:t>
            </w:r>
          </w:p>
          <w:p w14:paraId="1A90008A" w14:textId="474BD3EB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</w:tcPr>
          <w:p w14:paraId="21716056" w14:textId="430DB0B8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uspešno </w:t>
            </w:r>
            <w:r w:rsidR="00256B40">
              <w:rPr>
                <w:rFonts w:eastAsia="Calibri" w:cstheme="minorHAnsi"/>
                <w:sz w:val="20"/>
                <w:szCs w:val="20"/>
                <w:lang w:eastAsia="sl-SI"/>
              </w:rPr>
              <w:t xml:space="preserve">in ažurno 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obdelanih bibliografij.</w:t>
            </w:r>
          </w:p>
        </w:tc>
      </w:tr>
      <w:tr w:rsidR="00B3102D" w:rsidRPr="003715CB" w14:paraId="3CFC75C9" w14:textId="77777777" w:rsidTr="00D102CA">
        <w:trPr>
          <w:trHeight w:val="567"/>
        </w:trPr>
        <w:tc>
          <w:tcPr>
            <w:tcW w:w="5671" w:type="dxa"/>
          </w:tcPr>
          <w:p w14:paraId="59A15437" w14:textId="77777777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Prilagajanje knjižničnega sistema tehnološkim spremembam in potrebam uporabnikov.</w:t>
            </w:r>
          </w:p>
        </w:tc>
        <w:tc>
          <w:tcPr>
            <w:tcW w:w="5103" w:type="dxa"/>
            <w:vMerge w:val="restart"/>
            <w:vAlign w:val="center"/>
          </w:tcPr>
          <w:p w14:paraId="1D28B034" w14:textId="7F414E38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posameznih IKT storitev.</w:t>
            </w:r>
          </w:p>
        </w:tc>
      </w:tr>
      <w:tr w:rsidR="00B3102D" w:rsidRPr="003715CB" w14:paraId="31EF6F7C" w14:textId="77777777" w:rsidTr="00D102CA">
        <w:trPr>
          <w:trHeight w:val="850"/>
        </w:trPr>
        <w:tc>
          <w:tcPr>
            <w:tcW w:w="5671" w:type="dxa"/>
          </w:tcPr>
          <w:p w14:paraId="6D91D29B" w14:textId="6F2039E2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Izpopolnjevanje fonda z novimi naslovi, ohranjanje ali povečanje naslovov v elektronskih bazah podatkov,  izobraževanje zaposlenih, da lahko nudijo ustrezno  podpora uporabnikom.</w:t>
            </w:r>
          </w:p>
        </w:tc>
        <w:tc>
          <w:tcPr>
            <w:tcW w:w="5103" w:type="dxa"/>
            <w:vMerge/>
            <w:vAlign w:val="center"/>
          </w:tcPr>
          <w:p w14:paraId="0E496D36" w14:textId="77777777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B3102D" w:rsidRPr="003715CB" w14:paraId="6351D782" w14:textId="77777777" w:rsidTr="00D102CA">
        <w:trPr>
          <w:trHeight w:val="624"/>
        </w:trPr>
        <w:tc>
          <w:tcPr>
            <w:tcW w:w="5671" w:type="dxa"/>
          </w:tcPr>
          <w:p w14:paraId="3C3F7104" w14:textId="700EB073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Zagotavljanje dostopa do kakovostnega knjižničnega gradiva in informacijskih virov za vse uporabnike v primernem obsegu.</w:t>
            </w:r>
          </w:p>
        </w:tc>
        <w:tc>
          <w:tcPr>
            <w:tcW w:w="5103" w:type="dxa"/>
            <w:vMerge w:val="restart"/>
            <w:vAlign w:val="center"/>
          </w:tcPr>
          <w:p w14:paraId="68DF8DDA" w14:textId="7E942BC0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Zagotavljanje standardov opredeljenih za univerzitetne knjižnice.</w:t>
            </w:r>
          </w:p>
        </w:tc>
      </w:tr>
      <w:tr w:rsidR="00B3102D" w:rsidRPr="003715CB" w14:paraId="1E26C2D7" w14:textId="77777777" w:rsidTr="00D102CA">
        <w:trPr>
          <w:trHeight w:val="850"/>
        </w:trPr>
        <w:tc>
          <w:tcPr>
            <w:tcW w:w="5671" w:type="dxa"/>
          </w:tcPr>
          <w:p w14:paraId="24CDE5E0" w14:textId="5665E647" w:rsidR="00B3102D" w:rsidRPr="00DD7851" w:rsidRDefault="00B3102D" w:rsidP="00D102CA">
            <w:pPr>
              <w:jc w:val="both"/>
              <w:rPr>
                <w:rFonts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Visokošolski učitelji pripravijo predloge za nakup ustreznega obveznega študijskega gradiva, s čimer bo knjižnično gradivo vedno ustrezno posodobljeno.</w:t>
            </w:r>
          </w:p>
        </w:tc>
        <w:tc>
          <w:tcPr>
            <w:tcW w:w="5103" w:type="dxa"/>
            <w:vMerge/>
            <w:vAlign w:val="center"/>
          </w:tcPr>
          <w:p w14:paraId="09F88584" w14:textId="77777777" w:rsidR="00B3102D" w:rsidRDefault="00B3102D" w:rsidP="00B3102D">
            <w:pPr>
              <w:rPr>
                <w:sz w:val="20"/>
                <w:szCs w:val="20"/>
              </w:rPr>
            </w:pPr>
          </w:p>
        </w:tc>
      </w:tr>
      <w:tr w:rsidR="0053407C" w:rsidRPr="003715CB" w14:paraId="158B09C5" w14:textId="77777777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55C584F8" w14:textId="155F6E3F" w:rsidR="0053407C" w:rsidRPr="00680B50" w:rsidRDefault="0053407C" w:rsidP="00D102CA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teški cilj 2</w:t>
            </w:r>
            <w:r w:rsidR="00B3102D">
              <w:rPr>
                <w:rFonts w:eastAsia="Calibri" w:cstheme="minorHAnsi"/>
                <w:sz w:val="20"/>
                <w:szCs w:val="20"/>
                <w:lang w:eastAsia="sl-SI"/>
              </w:rPr>
              <w:t>5</w:t>
            </w: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: TRAJNA IN SODOBNA UREDITEV UNIVERZITETNEGA KNJIŽNIČNEGA SISTEMA Z DISLOCIRANIMI ENOTAMI NA LOKACIJAH, KJER SE IZVAJA ŠTUDIJSKI PROCES ČLANIC NU</w:t>
            </w:r>
          </w:p>
        </w:tc>
      </w:tr>
      <w:tr w:rsidR="0053407C" w:rsidRPr="003715CB" w14:paraId="72865B86" w14:textId="77777777" w:rsidTr="00D102CA">
        <w:trPr>
          <w:trHeight w:val="397"/>
        </w:trPr>
        <w:tc>
          <w:tcPr>
            <w:tcW w:w="5671" w:type="dxa"/>
            <w:vAlign w:val="center"/>
          </w:tcPr>
          <w:p w14:paraId="12027EB8" w14:textId="77777777" w:rsidR="0053407C" w:rsidRPr="00D102CA" w:rsidRDefault="0053407C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Vzpostavitev učinkovitega knjižničnega sistema UKNU.</w:t>
            </w:r>
          </w:p>
        </w:tc>
        <w:tc>
          <w:tcPr>
            <w:tcW w:w="5103" w:type="dxa"/>
            <w:vAlign w:val="center"/>
          </w:tcPr>
          <w:p w14:paraId="04C41C82" w14:textId="0B6D1EC5" w:rsidR="0053407C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vzpostavljenih dislociranih poslovnih enot UKNU.</w:t>
            </w:r>
          </w:p>
        </w:tc>
      </w:tr>
      <w:tr w:rsidR="0053407C" w:rsidRPr="003715CB" w14:paraId="5F9B3513" w14:textId="77777777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27721BA4" w14:textId="74421766" w:rsidR="0053407C" w:rsidRPr="00680B50" w:rsidRDefault="0053407C" w:rsidP="0053407C">
            <w:pPr>
              <w:spacing w:before="120" w:after="120" w:line="288" w:lineRule="auto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teški cilj 2</w:t>
            </w:r>
            <w:r w:rsidR="00B3102D">
              <w:rPr>
                <w:rFonts w:eastAsia="Calibri" w:cstheme="minorHAnsi"/>
                <w:sz w:val="20"/>
                <w:szCs w:val="20"/>
                <w:lang w:eastAsia="sl-SI"/>
              </w:rPr>
              <w:t>6</w:t>
            </w: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: IZGRADNJA SODOBNE ZNANSTVENE ZALOŽNIŠKE DEJAVNOSTI ZA PODPORO ZNANSTVENO RAZISKOVALNEGA IN ŠTUDIJSKEGA PROCESA NA UNIVERZI.</w:t>
            </w:r>
          </w:p>
        </w:tc>
      </w:tr>
      <w:tr w:rsidR="00B3102D" w:rsidRPr="003715CB" w14:paraId="08634DD3" w14:textId="77777777" w:rsidTr="00D102CA">
        <w:trPr>
          <w:trHeight w:val="567"/>
        </w:trPr>
        <w:tc>
          <w:tcPr>
            <w:tcW w:w="5671" w:type="dxa"/>
            <w:vAlign w:val="center"/>
          </w:tcPr>
          <w:p w14:paraId="6E0AD434" w14:textId="77777777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Nadaljevanje z delom na vzpostavitvi in delovanju Enciklopedije Slovenske ustavnosti.</w:t>
            </w:r>
          </w:p>
          <w:p w14:paraId="604FF337" w14:textId="268887DC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14:paraId="225FC3B7" w14:textId="77777777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Vzpostavljenost in delovanje Enciklopedija Slovenske ustavnosti.</w:t>
            </w:r>
          </w:p>
          <w:p w14:paraId="76327299" w14:textId="0D617A23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B3102D" w:rsidRPr="003715CB" w14:paraId="037AE7B0" w14:textId="77777777" w:rsidTr="00D102CA">
        <w:trPr>
          <w:trHeight w:val="397"/>
        </w:trPr>
        <w:tc>
          <w:tcPr>
            <w:tcW w:w="5671" w:type="dxa"/>
          </w:tcPr>
          <w:p w14:paraId="5D5CAE1B" w14:textId="414EA565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lastRenderedPageBreak/>
              <w:t>Nadgrajevanje postavljenih osnov za dodajanje revije ESTATE v OSJ.</w:t>
            </w:r>
          </w:p>
        </w:tc>
        <w:tc>
          <w:tcPr>
            <w:tcW w:w="5103" w:type="dxa"/>
          </w:tcPr>
          <w:p w14:paraId="47903CD7" w14:textId="50C1D7F1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Vključenost revije ESTATE v OSJ.</w:t>
            </w:r>
          </w:p>
        </w:tc>
      </w:tr>
      <w:tr w:rsidR="00B3102D" w:rsidRPr="003715CB" w14:paraId="582F5BAF" w14:textId="77777777" w:rsidTr="00D102CA">
        <w:trPr>
          <w:trHeight w:val="567"/>
        </w:trPr>
        <w:tc>
          <w:tcPr>
            <w:tcW w:w="5671" w:type="dxa"/>
          </w:tcPr>
          <w:p w14:paraId="1D170DC7" w14:textId="012BE298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Dodajanje založniške dejavnosti UKNU v spletno okolje z dostopom na daljavo.</w:t>
            </w:r>
          </w:p>
        </w:tc>
        <w:tc>
          <w:tcPr>
            <w:tcW w:w="5103" w:type="dxa"/>
          </w:tcPr>
          <w:p w14:paraId="18783FAC" w14:textId="39206C13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% založniške dejavnosti UKNU, ki je dodana v spletno okolje, z dostopom na daljavo.</w:t>
            </w:r>
          </w:p>
        </w:tc>
      </w:tr>
      <w:tr w:rsidR="0053407C" w:rsidRPr="003715CB" w14:paraId="1B4B9C26" w14:textId="77777777" w:rsidTr="00D102CA">
        <w:trPr>
          <w:trHeight w:val="1077"/>
        </w:trPr>
        <w:tc>
          <w:tcPr>
            <w:tcW w:w="5671" w:type="dxa"/>
            <w:vAlign w:val="center"/>
          </w:tcPr>
          <w:p w14:paraId="3C699520" w14:textId="6F97440A" w:rsidR="0053407C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Podpora znanstveno pedagoškega dela na NU z izdajanjem vrhunskih del avtorjev, ki sodelujejo na NU in njenih članicah ter prijava UKNU na razpise za sofinanciranje izdaj znanstvenih publikacij</w:t>
            </w:r>
            <w:r w:rsidR="007124B6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 znanstvenih revij NU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14:paraId="398AC245" w14:textId="2B323827" w:rsidR="0053407C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Število izdanih ZM</w:t>
            </w:r>
            <w:r w:rsidR="007124B6">
              <w:rPr>
                <w:rFonts w:eastAsia="Calibri" w:cstheme="minorHAnsi"/>
                <w:sz w:val="20"/>
                <w:szCs w:val="20"/>
                <w:lang w:eastAsia="sl-SI"/>
              </w:rPr>
              <w:t>, znanstvenih revij</w:t>
            </w: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in/ali učbenikov.</w:t>
            </w:r>
          </w:p>
        </w:tc>
      </w:tr>
      <w:tr w:rsidR="00350DDE" w:rsidRPr="003715CB" w14:paraId="50538892" w14:textId="77777777" w:rsidTr="00BC1EB3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14:paraId="3EB2116E" w14:textId="77777777" w:rsidR="00350DDE" w:rsidRPr="003715CB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10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FINANCIRANJE DEJAVNOSTI</w:t>
            </w:r>
          </w:p>
        </w:tc>
      </w:tr>
      <w:tr w:rsidR="00350DDE" w:rsidRPr="00A82D19" w14:paraId="0EEA1138" w14:textId="77777777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14:paraId="2FAB1A30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52187269" w14:textId="77777777"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14:paraId="49D2B896" w14:textId="77777777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44A35A79" w14:textId="40A102F7" w:rsidR="00350DDE" w:rsidRPr="00105426" w:rsidRDefault="00350DDE" w:rsidP="006241F8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B3102D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7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67728A">
              <w:rPr>
                <w:rFonts w:cstheme="minorHAnsi"/>
                <w:sz w:val="20"/>
                <w:szCs w:val="20"/>
                <w:lang w:eastAsia="sl-SI"/>
              </w:rPr>
              <w:t>ZAGOTOVITI USTREZNE VIRE FINANCIRANJA DEJAVNOSTI</w:t>
            </w:r>
          </w:p>
        </w:tc>
      </w:tr>
      <w:tr w:rsidR="00B3102D" w:rsidRPr="003715CB" w14:paraId="09231DC9" w14:textId="77777777" w:rsidTr="00D102CA">
        <w:trPr>
          <w:trHeight w:val="624"/>
        </w:trPr>
        <w:tc>
          <w:tcPr>
            <w:tcW w:w="5671" w:type="dxa"/>
          </w:tcPr>
          <w:p w14:paraId="34002A29" w14:textId="7BFB8C8D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 xml:space="preserve">Sklenitev Koncesijske pogodbe med NU in MIZŠ ter ustrezno razporejanje sredstev med članice NU. </w:t>
            </w:r>
          </w:p>
        </w:tc>
        <w:tc>
          <w:tcPr>
            <w:tcW w:w="5103" w:type="dxa"/>
          </w:tcPr>
          <w:p w14:paraId="055E2E4E" w14:textId="7C4C00B8" w:rsidR="00B3102D" w:rsidRPr="00D102CA" w:rsidRDefault="00B3102D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Ustrezna razporeditev koncesijskih sredstev.</w:t>
            </w:r>
          </w:p>
        </w:tc>
      </w:tr>
      <w:tr w:rsidR="00350DDE" w:rsidRPr="003715CB" w14:paraId="2543D769" w14:textId="77777777" w:rsidTr="00BC1EB3">
        <w:tc>
          <w:tcPr>
            <w:tcW w:w="5671" w:type="dxa"/>
            <w:vAlign w:val="center"/>
          </w:tcPr>
          <w:p w14:paraId="0DC7F437" w14:textId="78858B8C" w:rsidR="00CF2FA5" w:rsidRPr="00D102CA" w:rsidRDefault="00CF2FA5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Spremljanje razpisov in prijava nanje.</w:t>
            </w:r>
          </w:p>
          <w:p w14:paraId="233A6B62" w14:textId="0AC48AA8" w:rsidR="00350DDE" w:rsidRPr="00D102CA" w:rsidRDefault="00350DDE" w:rsidP="00D102CA">
            <w:pPr>
              <w:ind w:left="-47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14:paraId="13364D65" w14:textId="096078F7" w:rsidR="00350DDE" w:rsidRPr="00D102CA" w:rsidRDefault="00CF2FA5" w:rsidP="00D102CA">
            <w:pPr>
              <w:ind w:left="-47"/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Povečanje financiranja iz drugih javnih sredstev, ki niso koncesija.</w:t>
            </w:r>
          </w:p>
        </w:tc>
      </w:tr>
      <w:tr w:rsidR="00350DDE" w:rsidRPr="003715CB" w14:paraId="399555BF" w14:textId="77777777" w:rsidTr="00D102CA">
        <w:trPr>
          <w:trHeight w:val="624"/>
        </w:trPr>
        <w:tc>
          <w:tcPr>
            <w:tcW w:w="5671" w:type="dxa"/>
            <w:vAlign w:val="center"/>
          </w:tcPr>
          <w:p w14:paraId="36ABA811" w14:textId="393F2CDF" w:rsidR="00350DDE" w:rsidRPr="00D102CA" w:rsidRDefault="00CF2FA5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Pridobivanje zunanjih virov financiranja s povečanjem tržne dejavnosti, itd.</w:t>
            </w:r>
          </w:p>
        </w:tc>
        <w:tc>
          <w:tcPr>
            <w:tcW w:w="5103" w:type="dxa"/>
            <w:vAlign w:val="center"/>
          </w:tcPr>
          <w:p w14:paraId="725B749B" w14:textId="4554828A" w:rsidR="00350DDE" w:rsidRPr="00D102CA" w:rsidRDefault="00CF2FA5" w:rsidP="00D102CA">
            <w:pPr>
              <w:jc w:val="both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D102CA">
              <w:rPr>
                <w:rFonts w:eastAsia="Calibri" w:cstheme="minorHAnsi"/>
                <w:sz w:val="20"/>
                <w:szCs w:val="20"/>
                <w:lang w:eastAsia="sl-SI"/>
              </w:rPr>
              <w:t>Povečanje iz drugih virov (tržna dejavnost, finančni prispevek članic, itd.)</w:t>
            </w:r>
          </w:p>
        </w:tc>
      </w:tr>
    </w:tbl>
    <w:p w14:paraId="3107488B" w14:textId="77777777" w:rsidR="003715CB" w:rsidRPr="003715CB" w:rsidRDefault="003715CB" w:rsidP="003715CB">
      <w:pPr>
        <w:pStyle w:val="naslov-dokument"/>
        <w:numPr>
          <w:ilvl w:val="0"/>
          <w:numId w:val="0"/>
        </w:numPr>
        <w:rPr>
          <w:b w:val="0"/>
          <w:sz w:val="20"/>
          <w:szCs w:val="20"/>
        </w:rPr>
      </w:pPr>
    </w:p>
    <w:p w14:paraId="7F76D342" w14:textId="77777777"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14:paraId="0C939838" w14:textId="77777777"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14:paraId="15435EF5" w14:textId="77777777"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14:paraId="549EA2D6" w14:textId="77777777"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sectPr w:rsidR="003715CB" w:rsidRPr="0037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AF0E" w14:textId="77777777" w:rsidR="00C35311" w:rsidRDefault="00C35311" w:rsidP="008B3982">
      <w:pPr>
        <w:spacing w:after="0" w:line="240" w:lineRule="auto"/>
      </w:pPr>
      <w:r>
        <w:separator/>
      </w:r>
    </w:p>
  </w:endnote>
  <w:endnote w:type="continuationSeparator" w:id="0">
    <w:p w14:paraId="167EE3C2" w14:textId="77777777" w:rsidR="00C35311" w:rsidRDefault="00C35311" w:rsidP="008B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08743"/>
      <w:docPartObj>
        <w:docPartGallery w:val="Page Numbers (Bottom of Page)"/>
        <w:docPartUnique/>
      </w:docPartObj>
    </w:sdtPr>
    <w:sdtEndPr/>
    <w:sdtContent>
      <w:p w14:paraId="6B379936" w14:textId="77777777" w:rsidR="008B3982" w:rsidRDefault="008B398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40">
          <w:rPr>
            <w:noProof/>
          </w:rPr>
          <w:t>1</w:t>
        </w:r>
        <w:r>
          <w:fldChar w:fldCharType="end"/>
        </w:r>
      </w:p>
    </w:sdtContent>
  </w:sdt>
  <w:p w14:paraId="4EFD8A6D" w14:textId="77777777" w:rsidR="008B3982" w:rsidRDefault="008B39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D5CD" w14:textId="77777777" w:rsidR="00C35311" w:rsidRDefault="00C35311" w:rsidP="008B3982">
      <w:pPr>
        <w:spacing w:after="0" w:line="240" w:lineRule="auto"/>
      </w:pPr>
      <w:r>
        <w:separator/>
      </w:r>
    </w:p>
  </w:footnote>
  <w:footnote w:type="continuationSeparator" w:id="0">
    <w:p w14:paraId="0B11E741" w14:textId="77777777" w:rsidR="00C35311" w:rsidRDefault="00C35311" w:rsidP="008B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6B1"/>
    <w:multiLevelType w:val="hybridMultilevel"/>
    <w:tmpl w:val="6CB82CBE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B70"/>
    <w:multiLevelType w:val="hybridMultilevel"/>
    <w:tmpl w:val="88942FA2"/>
    <w:lvl w:ilvl="0" w:tplc="B3D6A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26017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D0843"/>
    <w:multiLevelType w:val="multilevel"/>
    <w:tmpl w:val="07B6118A"/>
    <w:lvl w:ilvl="0">
      <w:start w:val="1"/>
      <w:numFmt w:val="decimal"/>
      <w:pStyle w:val="naslov-dokumen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-dokument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3A7CF1"/>
    <w:multiLevelType w:val="hybridMultilevel"/>
    <w:tmpl w:val="49640C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233A0"/>
    <w:multiLevelType w:val="hybridMultilevel"/>
    <w:tmpl w:val="9CAE3B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F0B6A"/>
    <w:multiLevelType w:val="hybridMultilevel"/>
    <w:tmpl w:val="960E2534"/>
    <w:lvl w:ilvl="0" w:tplc="81983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C689A"/>
    <w:multiLevelType w:val="hybridMultilevel"/>
    <w:tmpl w:val="7AD6C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87A"/>
    <w:multiLevelType w:val="hybridMultilevel"/>
    <w:tmpl w:val="BB94B2A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1D35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F323F"/>
    <w:multiLevelType w:val="hybridMultilevel"/>
    <w:tmpl w:val="2C24C6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F1FFE"/>
    <w:multiLevelType w:val="hybridMultilevel"/>
    <w:tmpl w:val="88942FA2"/>
    <w:lvl w:ilvl="0" w:tplc="B3D6A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E738F"/>
    <w:multiLevelType w:val="hybridMultilevel"/>
    <w:tmpl w:val="8488C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3AC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874ED"/>
    <w:multiLevelType w:val="hybridMultilevel"/>
    <w:tmpl w:val="D72EB3D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02BEA"/>
    <w:multiLevelType w:val="hybridMultilevel"/>
    <w:tmpl w:val="575268A8"/>
    <w:lvl w:ilvl="0" w:tplc="772AE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02688"/>
    <w:multiLevelType w:val="hybridMultilevel"/>
    <w:tmpl w:val="B07AD9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14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CB"/>
    <w:rsid w:val="00003707"/>
    <w:rsid w:val="00013B87"/>
    <w:rsid w:val="000368C4"/>
    <w:rsid w:val="000525EE"/>
    <w:rsid w:val="00054F51"/>
    <w:rsid w:val="000B04ED"/>
    <w:rsid w:val="000B21C9"/>
    <w:rsid w:val="000D1917"/>
    <w:rsid w:val="000E542A"/>
    <w:rsid w:val="00105426"/>
    <w:rsid w:val="00113690"/>
    <w:rsid w:val="0011489B"/>
    <w:rsid w:val="00220F8B"/>
    <w:rsid w:val="00226846"/>
    <w:rsid w:val="002343AD"/>
    <w:rsid w:val="00245FD2"/>
    <w:rsid w:val="00256B40"/>
    <w:rsid w:val="002A22E1"/>
    <w:rsid w:val="002A29E4"/>
    <w:rsid w:val="002F128B"/>
    <w:rsid w:val="00350DDE"/>
    <w:rsid w:val="0035472E"/>
    <w:rsid w:val="0036324C"/>
    <w:rsid w:val="003715CB"/>
    <w:rsid w:val="003C2AC0"/>
    <w:rsid w:val="003E41FF"/>
    <w:rsid w:val="00405E06"/>
    <w:rsid w:val="004355F0"/>
    <w:rsid w:val="004432F2"/>
    <w:rsid w:val="00481DE5"/>
    <w:rsid w:val="004C75FA"/>
    <w:rsid w:val="004D7809"/>
    <w:rsid w:val="00506AFB"/>
    <w:rsid w:val="005257EE"/>
    <w:rsid w:val="0053407C"/>
    <w:rsid w:val="0055083A"/>
    <w:rsid w:val="0056322A"/>
    <w:rsid w:val="00572F78"/>
    <w:rsid w:val="006241F8"/>
    <w:rsid w:val="00625C1B"/>
    <w:rsid w:val="0067728A"/>
    <w:rsid w:val="00680B50"/>
    <w:rsid w:val="006829CD"/>
    <w:rsid w:val="00683167"/>
    <w:rsid w:val="00686FD5"/>
    <w:rsid w:val="006D1EA6"/>
    <w:rsid w:val="007124B6"/>
    <w:rsid w:val="00715C08"/>
    <w:rsid w:val="00765879"/>
    <w:rsid w:val="007822A0"/>
    <w:rsid w:val="00785F3A"/>
    <w:rsid w:val="00790DB5"/>
    <w:rsid w:val="00837853"/>
    <w:rsid w:val="008601D8"/>
    <w:rsid w:val="00867B1C"/>
    <w:rsid w:val="008B3982"/>
    <w:rsid w:val="00950A33"/>
    <w:rsid w:val="009526A9"/>
    <w:rsid w:val="0096136D"/>
    <w:rsid w:val="00965688"/>
    <w:rsid w:val="009E2261"/>
    <w:rsid w:val="00A4260E"/>
    <w:rsid w:val="00A753D1"/>
    <w:rsid w:val="00A82D19"/>
    <w:rsid w:val="00B16342"/>
    <w:rsid w:val="00B24D01"/>
    <w:rsid w:val="00B3102D"/>
    <w:rsid w:val="00B34985"/>
    <w:rsid w:val="00B531AF"/>
    <w:rsid w:val="00B71228"/>
    <w:rsid w:val="00BC1EB3"/>
    <w:rsid w:val="00C1394D"/>
    <w:rsid w:val="00C14C1F"/>
    <w:rsid w:val="00C30AFF"/>
    <w:rsid w:val="00C35311"/>
    <w:rsid w:val="00C35B4C"/>
    <w:rsid w:val="00CA74F5"/>
    <w:rsid w:val="00CB6034"/>
    <w:rsid w:val="00CC6717"/>
    <w:rsid w:val="00CD4D18"/>
    <w:rsid w:val="00CD54EE"/>
    <w:rsid w:val="00CF2FA5"/>
    <w:rsid w:val="00CF5D48"/>
    <w:rsid w:val="00D102CA"/>
    <w:rsid w:val="00D32C9A"/>
    <w:rsid w:val="00D36D1A"/>
    <w:rsid w:val="00D546C1"/>
    <w:rsid w:val="00D630D5"/>
    <w:rsid w:val="00D66ADF"/>
    <w:rsid w:val="00D72B77"/>
    <w:rsid w:val="00D960F1"/>
    <w:rsid w:val="00DA13CB"/>
    <w:rsid w:val="00DA3C59"/>
    <w:rsid w:val="00E21330"/>
    <w:rsid w:val="00E22151"/>
    <w:rsid w:val="00E45BAB"/>
    <w:rsid w:val="00E46F10"/>
    <w:rsid w:val="00E5488E"/>
    <w:rsid w:val="00E62FC2"/>
    <w:rsid w:val="00E70B2A"/>
    <w:rsid w:val="00EA34B1"/>
    <w:rsid w:val="00ED4893"/>
    <w:rsid w:val="00EE1067"/>
    <w:rsid w:val="00F53C4E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D96"/>
  <w15:chartTrackingRefBased/>
  <w15:docId w15:val="{70D48165-8F97-449D-A92B-59016D1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5CB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dokument">
    <w:name w:val="naslov - dokument"/>
    <w:basedOn w:val="Odstavekseznama"/>
    <w:link w:val="naslov-dokumentZnak"/>
    <w:rsid w:val="003715CB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Podnaslov-dokument">
    <w:name w:val="Podnaslov - dokument"/>
    <w:basedOn w:val="Odstavekseznama"/>
    <w:link w:val="Podnaslov-dokumentZnak"/>
    <w:rsid w:val="003715CB"/>
    <w:pPr>
      <w:numPr>
        <w:ilvl w:val="1"/>
        <w:numId w:val="1"/>
      </w:numPr>
      <w:jc w:val="both"/>
    </w:pPr>
    <w:rPr>
      <w:b/>
      <w:sz w:val="26"/>
      <w:szCs w:val="28"/>
    </w:rPr>
  </w:style>
  <w:style w:type="character" w:customStyle="1" w:styleId="naslov-dokumentZnak">
    <w:name w:val="naslov - dokument Znak"/>
    <w:basedOn w:val="Privzetapisavaodstavka"/>
    <w:link w:val="naslov-dokument"/>
    <w:rsid w:val="003715CB"/>
    <w:rPr>
      <w:rFonts w:eastAsiaTheme="minorEastAsia"/>
      <w:b/>
      <w:sz w:val="28"/>
      <w:szCs w:val="28"/>
    </w:rPr>
  </w:style>
  <w:style w:type="character" w:customStyle="1" w:styleId="Podnaslov-dokumentZnak">
    <w:name w:val="Podnaslov - dokument Znak"/>
    <w:basedOn w:val="Privzetapisavaodstavka"/>
    <w:link w:val="Podnaslov-dokument"/>
    <w:rsid w:val="003715CB"/>
    <w:rPr>
      <w:rFonts w:eastAsiaTheme="minorEastAsia"/>
      <w:b/>
      <w:sz w:val="26"/>
      <w:szCs w:val="28"/>
    </w:rPr>
  </w:style>
  <w:style w:type="table" w:styleId="Tabelamrea">
    <w:name w:val="Table Grid"/>
    <w:basedOn w:val="Navadnatabela"/>
    <w:uiPriority w:val="39"/>
    <w:rsid w:val="003715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715C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105426"/>
    <w:rPr>
      <w:rFonts w:eastAsiaTheme="minorEastAsia"/>
    </w:rPr>
  </w:style>
  <w:style w:type="paragraph" w:customStyle="1" w:styleId="Default">
    <w:name w:val="Default"/>
    <w:rsid w:val="00D54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B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982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8B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3982"/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2F2"/>
    <w:rPr>
      <w:rFonts w:ascii="Times New Roman" w:eastAsiaTheme="minorEastAsia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56B4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6B40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6B40"/>
    <w:rPr>
      <w:rFonts w:eastAsiaTheme="minorEastAsia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6B40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6B4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FCD17-2A18-8F46-B58D-7698F0B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Nemec</dc:creator>
  <cp:keywords/>
  <dc:description/>
  <cp:lastModifiedBy>Hana Šanca</cp:lastModifiedBy>
  <cp:revision>2</cp:revision>
  <dcterms:created xsi:type="dcterms:W3CDTF">2021-02-17T07:23:00Z</dcterms:created>
  <dcterms:modified xsi:type="dcterms:W3CDTF">2021-02-17T07:23:00Z</dcterms:modified>
</cp:coreProperties>
</file>